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883" w:firstLineChars="200"/>
        <w:jc w:val="center"/>
        <w:textAlignment w:val="auto"/>
        <w:rPr>
          <w:rFonts w:hint="default" w:ascii="Times New Roman" w:hAnsi="Times New Roman" w:cs="Times New Roman"/>
          <w:b/>
          <w:bCs/>
          <w:color w:val="000000"/>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val="0"/>
          <w:bCs w:val="0"/>
          <w:color w:val="000000"/>
          <w:sz w:val="44"/>
          <w:szCs w:val="44"/>
          <w:lang w:eastAsia="zh-CN"/>
        </w:rPr>
      </w:pPr>
      <w:r>
        <w:rPr>
          <w:rFonts w:hint="eastAsia" w:ascii="Times New Roman" w:hAnsi="Times New Roman" w:eastAsia="方正小标宋_GBK" w:cs="Times New Roman"/>
          <w:b w:val="0"/>
          <w:bCs w:val="0"/>
          <w:color w:val="000000"/>
          <w:sz w:val="44"/>
          <w:szCs w:val="44"/>
          <w:lang w:val="en-US" w:eastAsia="zh-CN"/>
        </w:rPr>
        <w:t xml:space="preserve"> </w:t>
      </w:r>
      <w:r>
        <w:rPr>
          <w:rFonts w:hint="default" w:ascii="Times New Roman" w:hAnsi="Times New Roman" w:eastAsia="方正小标宋_GBK" w:cs="Times New Roman"/>
          <w:b w:val="0"/>
          <w:bCs w:val="0"/>
          <w:color w:val="000000"/>
          <w:sz w:val="44"/>
          <w:szCs w:val="44"/>
          <w:lang w:eastAsia="zh-CN"/>
        </w:rPr>
        <w:t>淮南市</w:t>
      </w:r>
      <w:r>
        <w:rPr>
          <w:rFonts w:hint="eastAsia" w:ascii="Times New Roman" w:hAnsi="Times New Roman" w:eastAsia="方正小标宋_GBK" w:cs="Times New Roman"/>
          <w:b w:val="0"/>
          <w:bCs w:val="0"/>
          <w:color w:val="000000"/>
          <w:sz w:val="44"/>
          <w:szCs w:val="44"/>
          <w:lang w:eastAsia="zh-CN"/>
        </w:rPr>
        <w:t>实施规上工业企业、高新技术工业企业、战略性新兴产业企业、</w:t>
      </w:r>
      <w:r>
        <w:rPr>
          <w:rFonts w:hint="default" w:ascii="Times New Roman" w:hAnsi="Times New Roman" w:eastAsia="方正小标宋_GBK" w:cs="Times New Roman"/>
          <w:b w:val="0"/>
          <w:bCs w:val="0"/>
          <w:color w:val="000000"/>
          <w:sz w:val="44"/>
          <w:szCs w:val="44"/>
          <w:lang w:eastAsia="zh-CN"/>
        </w:rPr>
        <w:t>专精特新企业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val="0"/>
          <w:bCs w:val="0"/>
          <w:color w:val="000000"/>
          <w:sz w:val="44"/>
          <w:szCs w:val="44"/>
          <w:lang w:eastAsia="zh-CN"/>
        </w:rPr>
      </w:pPr>
      <w:r>
        <w:rPr>
          <w:rFonts w:hint="default" w:ascii="Times New Roman" w:hAnsi="Times New Roman" w:eastAsia="方正小标宋_GBK" w:cs="Times New Roman"/>
          <w:b w:val="0"/>
          <w:bCs w:val="0"/>
          <w:color w:val="000000"/>
          <w:sz w:val="44"/>
          <w:szCs w:val="44"/>
          <w:lang w:eastAsia="zh-CN"/>
        </w:rPr>
        <w:t>发展三年倍增</w:t>
      </w:r>
      <w:r>
        <w:rPr>
          <w:rFonts w:hint="eastAsia" w:ascii="Times New Roman" w:hAnsi="Times New Roman" w:eastAsia="方正小标宋_GBK" w:cs="Times New Roman"/>
          <w:b w:val="0"/>
          <w:bCs w:val="0"/>
          <w:color w:val="000000"/>
          <w:sz w:val="44"/>
          <w:szCs w:val="44"/>
          <w:lang w:eastAsia="zh-CN"/>
        </w:rPr>
        <w:t>行</w:t>
      </w:r>
      <w:r>
        <w:rPr>
          <w:rFonts w:hint="default" w:ascii="Times New Roman" w:hAnsi="Times New Roman" w:eastAsia="方正小标宋_GBK" w:cs="Times New Roman"/>
          <w:b w:val="0"/>
          <w:bCs w:val="0"/>
          <w:color w:val="000000"/>
          <w:sz w:val="44"/>
          <w:szCs w:val="44"/>
          <w:lang w:eastAsia="zh-CN"/>
        </w:rPr>
        <w:t>动方案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楷体" w:cs="Times New Roman"/>
          <w:b/>
          <w:bCs/>
          <w:color w:val="000000"/>
          <w:sz w:val="32"/>
          <w:szCs w:val="32"/>
          <w:lang w:eastAsia="zh-CN"/>
        </w:rPr>
      </w:pPr>
      <w:r>
        <w:rPr>
          <w:rFonts w:hint="default" w:ascii="Times New Roman" w:hAnsi="Times New Roman" w:eastAsia="楷体" w:cs="Times New Roman"/>
          <w:b/>
          <w:bCs/>
          <w:color w:val="000000"/>
          <w:sz w:val="32"/>
          <w:szCs w:val="32"/>
          <w:lang w:eastAsia="zh-CN"/>
        </w:rPr>
        <w:t>（</w:t>
      </w:r>
      <w:r>
        <w:rPr>
          <w:rFonts w:hint="eastAsia" w:ascii="Times New Roman" w:hAnsi="Times New Roman" w:eastAsia="楷体" w:cs="Times New Roman"/>
          <w:b/>
          <w:bCs/>
          <w:color w:val="000000"/>
          <w:sz w:val="32"/>
          <w:szCs w:val="32"/>
          <w:lang w:eastAsia="zh-CN"/>
        </w:rPr>
        <w:t>征求意见</w:t>
      </w:r>
      <w:r>
        <w:rPr>
          <w:rFonts w:hint="default" w:ascii="Times New Roman" w:hAnsi="Times New Roman" w:eastAsia="楷体" w:cs="Times New Roman"/>
          <w:b/>
          <w:bCs/>
          <w:color w:val="000000"/>
          <w:sz w:val="32"/>
          <w:szCs w:val="32"/>
          <w:lang w:eastAsia="zh-CN"/>
        </w:rPr>
        <w:t>稿）</w:t>
      </w:r>
    </w:p>
    <w:p>
      <w:pPr>
        <w:pStyle w:val="2"/>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sz w:val="32"/>
          <w:szCs w:val="32"/>
          <w:lang w:eastAsia="zh-CN"/>
        </w:rPr>
        <w:t>为深入贯彻落实党的二十大精神，</w:t>
      </w:r>
      <w:r>
        <w:rPr>
          <w:rFonts w:hint="eastAsia" w:ascii="仿宋_GB2312" w:hAnsi="仿宋_GB2312" w:eastAsia="仿宋_GB2312" w:cs="仿宋_GB2312"/>
          <w:sz w:val="32"/>
          <w:szCs w:val="32"/>
          <w:lang w:val="en-US" w:eastAsia="zh-CN"/>
        </w:rPr>
        <w:t>加快推进“工业强市”、“科技强市”</w:t>
      </w:r>
      <w:r>
        <w:rPr>
          <w:rFonts w:hint="eastAsia" w:ascii="仿宋_GB2312" w:hAnsi="仿宋_GB2312" w:eastAsia="仿宋_GB2312" w:cs="仿宋_GB2312"/>
          <w:b w:val="0"/>
          <w:bCs w:val="0"/>
          <w:color w:val="000000"/>
          <w:sz w:val="32"/>
          <w:szCs w:val="32"/>
          <w:lang w:eastAsia="zh-CN"/>
        </w:rPr>
        <w:t>步伐，</w:t>
      </w:r>
      <w:r>
        <w:rPr>
          <w:rFonts w:hint="eastAsia" w:ascii="仿宋_GB2312" w:hAnsi="仿宋_GB2312" w:eastAsia="仿宋_GB2312" w:cs="仿宋_GB2312"/>
          <w:b w:val="0"/>
          <w:bCs w:val="0"/>
          <w:color w:val="000000"/>
          <w:sz w:val="32"/>
          <w:szCs w:val="32"/>
          <w:lang w:val="en-US" w:eastAsia="zh-CN"/>
        </w:rPr>
        <w:t>结合我市实际，现制定</w:t>
      </w:r>
      <w:r>
        <w:rPr>
          <w:rFonts w:hint="eastAsia" w:ascii="仿宋_GB2312" w:hAnsi="仿宋_GB2312" w:eastAsia="仿宋_GB2312" w:cs="仿宋_GB2312"/>
          <w:b w:val="0"/>
          <w:bCs w:val="0"/>
          <w:color w:val="000000"/>
          <w:sz w:val="32"/>
          <w:szCs w:val="32"/>
          <w:lang w:eastAsia="zh-CN"/>
        </w:rPr>
        <w:t>淮南市实施规上工业企业、高新技术工业企业、战</w:t>
      </w:r>
      <w:r>
        <w:rPr>
          <w:rFonts w:hint="eastAsia" w:ascii="仿宋_GB2312" w:hAnsi="仿宋_GB2312" w:eastAsia="仿宋_GB2312" w:cs="仿宋_GB2312"/>
          <w:sz w:val="32"/>
          <w:szCs w:val="32"/>
          <w:lang w:val="en-US" w:eastAsia="zh-CN"/>
        </w:rPr>
        <w:t>略性新兴产业</w:t>
      </w:r>
      <w:r>
        <w:rPr>
          <w:rFonts w:hint="eastAsia" w:ascii="仿宋_GB2312" w:hAnsi="仿宋_GB2312" w:eastAsia="仿宋_GB2312" w:cs="仿宋_GB2312"/>
          <w:b w:val="0"/>
          <w:bCs w:val="0"/>
          <w:color w:val="000000"/>
          <w:sz w:val="32"/>
          <w:szCs w:val="32"/>
          <w:lang w:eastAsia="zh-CN"/>
        </w:rPr>
        <w:t>企业、专精特新企业发展三年倍增行动方案。</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一、指导思想</w:t>
      </w:r>
    </w:p>
    <w:p>
      <w:pPr>
        <w:keepNext w:val="0"/>
        <w:keepLines w:val="0"/>
        <w:pageBreakBefore w:val="0"/>
        <w:numPr>
          <w:ilvl w:val="0"/>
          <w:numId w:val="0"/>
        </w:numPr>
        <w:kinsoku/>
        <w:wordWrap/>
        <w:overflowPunct/>
        <w:topLinePunct w:val="0"/>
        <w:autoSpaceDE/>
        <w:bidi w:val="0"/>
        <w:adjustRightInd/>
        <w:snapToGrid/>
        <w:spacing w:line="240" w:lineRule="auto"/>
        <w:ind w:firstLine="640"/>
        <w:textAlignment w:val="auto"/>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以习近平新时代中国特色社会主义思想为指导，坚持工业强市战略不动摇，</w:t>
      </w:r>
      <w:r>
        <w:rPr>
          <w:rFonts w:hint="eastAsia" w:ascii="Times New Roman" w:hAnsi="Times New Roman" w:eastAsia="仿宋" w:cs="Times New Roman"/>
          <w:b w:val="0"/>
          <w:bCs w:val="0"/>
          <w:color w:val="000000"/>
          <w:sz w:val="32"/>
          <w:szCs w:val="32"/>
          <w:lang w:val="en-US" w:eastAsia="zh-CN"/>
        </w:rPr>
        <w:t>把培育和发展规上工业企业摆在突出位置，</w:t>
      </w:r>
      <w:r>
        <w:rPr>
          <w:rFonts w:hint="eastAsia" w:ascii="CESI仿宋-GB18030" w:hAnsi="CESI仿宋-GB18030" w:eastAsia="CESI仿宋-GB18030" w:cs="CESI仿宋-GB18030"/>
          <w:sz w:val="32"/>
          <w:szCs w:val="32"/>
          <w:lang w:val="en-US" w:eastAsia="zh-CN"/>
        </w:rPr>
        <w:t>把握战略性新兴产业发展机遇和产业升级，</w:t>
      </w:r>
      <w:r>
        <w:rPr>
          <w:rFonts w:hint="eastAsia" w:ascii="仿宋_GB2312" w:hAnsi="仿宋_GB2312" w:eastAsia="仿宋_GB2312"/>
          <w:b w:val="0"/>
          <w:i w:val="0"/>
          <w:snapToGrid/>
          <w:color w:val="000000"/>
          <w:spacing w:val="-4"/>
          <w:sz w:val="32"/>
          <w:shd w:val="clear" w:color="auto" w:fill="FFFFFF"/>
          <w:lang w:eastAsia="zh-CN"/>
        </w:rPr>
        <w:t>优化</w:t>
      </w:r>
      <w:r>
        <w:rPr>
          <w:rFonts w:hint="eastAsia" w:ascii="仿宋_GB2312" w:hAnsi="仿宋_GB2312" w:eastAsia="仿宋_GB2312"/>
          <w:b w:val="0"/>
          <w:i w:val="0"/>
          <w:snapToGrid/>
          <w:color w:val="000000"/>
          <w:spacing w:val="-4"/>
          <w:sz w:val="32"/>
          <w:shd w:val="clear" w:color="auto" w:fill="FFFFFF"/>
          <w:lang w:val="en-US" w:eastAsia="zh-CN"/>
        </w:rPr>
        <w:t>高新技术工业企业</w:t>
      </w:r>
      <w:r>
        <w:rPr>
          <w:rFonts w:hint="eastAsia" w:ascii="仿宋_GB2312" w:hAnsi="仿宋_GB2312" w:eastAsia="仿宋_GB2312"/>
          <w:b w:val="0"/>
          <w:i w:val="0"/>
          <w:snapToGrid/>
          <w:color w:val="000000"/>
          <w:spacing w:val="-4"/>
          <w:sz w:val="32"/>
          <w:shd w:val="clear" w:color="auto" w:fill="FFFFFF"/>
          <w:lang w:eastAsia="zh-CN"/>
        </w:rPr>
        <w:t>培育路径，</w:t>
      </w:r>
      <w:r>
        <w:rPr>
          <w:rFonts w:hint="default" w:ascii="Times New Roman" w:hAnsi="Times New Roman" w:eastAsia="仿宋" w:cs="Times New Roman"/>
          <w:b w:val="0"/>
          <w:bCs w:val="0"/>
          <w:color w:val="000000"/>
          <w:sz w:val="32"/>
          <w:szCs w:val="32"/>
          <w:lang w:val="en-US" w:eastAsia="zh-CN"/>
        </w:rPr>
        <w:t>围绕专精特新方向，培育更多优质中小企业，</w:t>
      </w:r>
      <w:r>
        <w:rPr>
          <w:rFonts w:hint="eastAsia" w:ascii="Times New Roman" w:hAnsi="Times New Roman" w:eastAsia="仿宋" w:cs="Times New Roman"/>
          <w:b w:val="0"/>
          <w:bCs w:val="0"/>
          <w:color w:val="000000"/>
          <w:sz w:val="32"/>
          <w:szCs w:val="32"/>
          <w:lang w:val="en-US" w:eastAsia="zh-CN"/>
        </w:rPr>
        <w:t>推动我市工业经济高质量发展取得新突破。</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二、目标</w:t>
      </w:r>
      <w:r>
        <w:rPr>
          <w:rFonts w:hint="eastAsia" w:ascii="Times New Roman" w:hAnsi="Times New Roman" w:eastAsia="黑体" w:cs="Times New Roman"/>
          <w:b/>
          <w:bCs/>
          <w:color w:val="000000"/>
          <w:sz w:val="32"/>
          <w:szCs w:val="32"/>
          <w:lang w:val="en-US" w:eastAsia="zh-CN"/>
        </w:rPr>
        <w:t>任务</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24" w:firstLineChars="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到2025年底，净增规上工业企业830 户以上，总数达1660户以上；净增</w:t>
      </w:r>
      <w:r>
        <w:rPr>
          <w:rFonts w:hint="eastAsia" w:ascii="仿宋" w:hAnsi="仿宋" w:eastAsia="仿宋" w:cs="仿宋"/>
          <w:b w:val="0"/>
          <w:i w:val="0"/>
          <w:snapToGrid/>
          <w:color w:val="000000"/>
          <w:spacing w:val="-4"/>
          <w:sz w:val="32"/>
          <w:shd w:val="clear" w:color="auto" w:fill="FFFFFF"/>
          <w:lang w:val="en-US" w:eastAsia="zh-CN"/>
        </w:rPr>
        <w:t>高新技术工业企业220户以上，总数达450户以上；净增</w:t>
      </w:r>
      <w:r>
        <w:rPr>
          <w:rFonts w:hint="eastAsia" w:ascii="仿宋" w:hAnsi="仿宋" w:eastAsia="仿宋" w:cs="仿宋"/>
          <w:sz w:val="32"/>
          <w:szCs w:val="32"/>
          <w:lang w:val="en-US" w:eastAsia="zh-CN"/>
        </w:rPr>
        <w:t>战略性新兴产业企业280户以上，总数达550户以上；净增</w:t>
      </w:r>
      <w:r>
        <w:rPr>
          <w:rFonts w:hint="eastAsia" w:ascii="仿宋" w:hAnsi="仿宋" w:eastAsia="仿宋" w:cs="仿宋"/>
          <w:b w:val="0"/>
          <w:bCs w:val="0"/>
          <w:color w:val="000000"/>
          <w:sz w:val="32"/>
          <w:szCs w:val="32"/>
          <w:lang w:val="en-US" w:eastAsia="zh-CN"/>
        </w:rPr>
        <w:t>市级专精特新中小企业140户以上，总数达300户以上；净增省级专精特新企业122户以上，总数达245户以上；净增专精特新“小巨人”企业16户以上，总数达25户以上；净增“重点小巨人”企业5户以上，总数达10户以上，均实现倍增。</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三、重点措施</w:t>
      </w:r>
    </w:p>
    <w:p>
      <w:pPr>
        <w:keepNext w:val="0"/>
        <w:keepLines w:val="0"/>
        <w:pageBreakBefore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 w:cs="Times New Roman"/>
          <w:b/>
          <w:bCs/>
          <w:color w:val="000000"/>
          <w:sz w:val="32"/>
          <w:szCs w:val="32"/>
          <w:u w:val="none"/>
          <w:lang w:val="en-US" w:eastAsia="zh-CN"/>
        </w:rPr>
      </w:pPr>
      <w:r>
        <w:rPr>
          <w:rFonts w:hint="default" w:ascii="Times New Roman" w:hAnsi="Times New Roman" w:eastAsia="仿宋" w:cs="Times New Roman"/>
          <w:b/>
          <w:bCs/>
          <w:color w:val="000000"/>
          <w:sz w:val="32"/>
          <w:szCs w:val="32"/>
          <w:u w:val="none"/>
          <w:lang w:val="en-US" w:eastAsia="zh-CN"/>
        </w:rPr>
        <w:t>（一）实施政策赋能，助力企业高速成长</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24" w:firstLineChars="0"/>
        <w:jc w:val="both"/>
        <w:textAlignment w:val="auto"/>
        <w:outlineLvl w:val="9"/>
        <w:rPr>
          <w:rFonts w:hint="default" w:ascii="仿宋" w:hAnsi="仿宋" w:eastAsia="仿宋" w:cs="仿宋"/>
          <w:b w:val="0"/>
          <w:i w:val="0"/>
          <w:snapToGrid/>
          <w:color w:val="000000"/>
          <w:spacing w:val="-4"/>
          <w:sz w:val="32"/>
          <w:shd w:val="clear" w:color="auto" w:fill="FFFFFF"/>
          <w:lang w:val="en-US" w:eastAsia="zh-CN"/>
        </w:rPr>
      </w:pPr>
      <w:r>
        <w:rPr>
          <w:rFonts w:hint="eastAsia" w:ascii="仿宋" w:hAnsi="仿宋" w:eastAsia="仿宋" w:cs="仿宋"/>
          <w:b w:val="0"/>
          <w:i w:val="0"/>
          <w:snapToGrid/>
          <w:color w:val="000000"/>
          <w:spacing w:val="-4"/>
          <w:sz w:val="32"/>
          <w:shd w:val="clear" w:color="auto" w:fill="FFFFFF"/>
          <w:lang w:val="en-US" w:eastAsia="zh-CN"/>
        </w:rPr>
        <w:t>实施“八企”培育工程。按照“规上工业企业→创新型中小企业→战略性新兴产业企业→高新技术工业企业→省专精特新企业→省专精特新冠军企业→国家级小巨人企业→国家级单项冠军”成长路径，实行梯次培育。</w:t>
      </w:r>
      <w:r>
        <w:rPr>
          <w:rFonts w:hint="default" w:ascii="仿宋" w:hAnsi="仿宋" w:eastAsia="仿宋" w:cs="仿宋"/>
          <w:b w:val="0"/>
          <w:i w:val="0"/>
          <w:snapToGrid/>
          <w:color w:val="000000"/>
          <w:spacing w:val="-4"/>
          <w:sz w:val="32"/>
          <w:shd w:val="clear" w:color="auto" w:fill="FFFFFF"/>
          <w:lang w:val="en-US" w:eastAsia="zh-CN"/>
        </w:rPr>
        <w:t>对</w:t>
      </w:r>
      <w:r>
        <w:rPr>
          <w:rFonts w:hint="eastAsia" w:ascii="仿宋" w:hAnsi="仿宋" w:eastAsia="仿宋" w:cs="仿宋"/>
          <w:b w:val="0"/>
          <w:i w:val="0"/>
          <w:snapToGrid/>
          <w:color w:val="000000"/>
          <w:spacing w:val="-4"/>
          <w:sz w:val="32"/>
          <w:shd w:val="clear" w:color="auto" w:fill="FFFFFF"/>
          <w:lang w:val="en-US" w:eastAsia="zh-CN"/>
        </w:rPr>
        <w:t>新建新投产升规企业给予一次性奖励20万元、首次升规的“小升规”企业给予一次性奖励10万元；</w:t>
      </w:r>
      <w:r>
        <w:rPr>
          <w:rFonts w:hint="default" w:ascii="仿宋" w:hAnsi="仿宋" w:eastAsia="仿宋" w:cs="仿宋"/>
          <w:b w:val="0"/>
          <w:i w:val="0"/>
          <w:snapToGrid/>
          <w:color w:val="000000"/>
          <w:spacing w:val="-4"/>
          <w:sz w:val="32"/>
          <w:shd w:val="clear" w:color="auto" w:fill="FFFFFF"/>
          <w:lang w:val="en-US" w:eastAsia="zh-CN"/>
        </w:rPr>
        <w:t>对新增的省级创新型企业，各县区园区给予一次性奖励5万元</w:t>
      </w:r>
      <w:r>
        <w:rPr>
          <w:rFonts w:hint="eastAsia" w:ascii="仿宋" w:hAnsi="仿宋" w:eastAsia="仿宋" w:cs="仿宋"/>
          <w:b w:val="0"/>
          <w:i w:val="0"/>
          <w:snapToGrid/>
          <w:color w:val="000000"/>
          <w:spacing w:val="-4"/>
          <w:sz w:val="32"/>
          <w:shd w:val="clear" w:color="auto" w:fill="FFFFFF"/>
          <w:lang w:val="en-US" w:eastAsia="zh-CN"/>
        </w:rPr>
        <w:t>；对新纳入战略性新兴产业企业，给予一次性奖励10万元；对首次认定的国家高新技术工业企业给予一次性奖励20万元，重新认定的给予一次性奖励10万元，</w:t>
      </w:r>
      <w:r>
        <w:rPr>
          <w:rFonts w:hint="default" w:ascii="仿宋" w:hAnsi="仿宋" w:eastAsia="仿宋" w:cs="仿宋"/>
          <w:b w:val="0"/>
          <w:i w:val="0"/>
          <w:snapToGrid/>
          <w:color w:val="000000"/>
          <w:spacing w:val="-4"/>
          <w:sz w:val="32"/>
          <w:shd w:val="clear" w:color="auto" w:fill="FFFFFF"/>
          <w:lang w:val="en-US" w:eastAsia="zh-CN"/>
        </w:rPr>
        <w:t>对整体迁入</w:t>
      </w:r>
      <w:r>
        <w:rPr>
          <w:rFonts w:hint="eastAsia" w:ascii="仿宋" w:hAnsi="仿宋" w:eastAsia="仿宋" w:cs="仿宋"/>
          <w:b w:val="0"/>
          <w:i w:val="0"/>
          <w:snapToGrid/>
          <w:color w:val="000000"/>
          <w:spacing w:val="-4"/>
          <w:sz w:val="32"/>
          <w:shd w:val="clear" w:color="auto" w:fill="FFFFFF"/>
          <w:lang w:val="en-US" w:eastAsia="zh-CN"/>
        </w:rPr>
        <w:t>我市</w:t>
      </w:r>
      <w:r>
        <w:rPr>
          <w:rFonts w:hint="default" w:ascii="仿宋" w:hAnsi="仿宋" w:eastAsia="仿宋" w:cs="仿宋"/>
          <w:b w:val="0"/>
          <w:i w:val="0"/>
          <w:snapToGrid/>
          <w:color w:val="000000"/>
          <w:spacing w:val="-4"/>
          <w:sz w:val="32"/>
          <w:shd w:val="clear" w:color="auto" w:fill="FFFFFF"/>
          <w:lang w:val="en-US" w:eastAsia="zh-CN"/>
        </w:rPr>
        <w:t>的</w:t>
      </w:r>
      <w:r>
        <w:rPr>
          <w:rFonts w:hint="eastAsia" w:ascii="仿宋" w:hAnsi="仿宋" w:eastAsia="仿宋" w:cs="仿宋"/>
          <w:b w:val="0"/>
          <w:i w:val="0"/>
          <w:snapToGrid/>
          <w:color w:val="000000"/>
          <w:spacing w:val="-4"/>
          <w:sz w:val="32"/>
          <w:shd w:val="clear" w:color="auto" w:fill="FFFFFF"/>
          <w:lang w:val="en-US" w:eastAsia="zh-CN"/>
        </w:rPr>
        <w:t>国家高新技术工业企业，给予一次性奖励20万元；对获得</w:t>
      </w:r>
      <w:r>
        <w:rPr>
          <w:rFonts w:hint="default" w:ascii="仿宋" w:hAnsi="仿宋" w:eastAsia="仿宋" w:cs="仿宋"/>
          <w:b w:val="0"/>
          <w:i w:val="0"/>
          <w:snapToGrid/>
          <w:color w:val="000000"/>
          <w:spacing w:val="-4"/>
          <w:sz w:val="32"/>
          <w:shd w:val="clear" w:color="auto" w:fill="FFFFFF"/>
          <w:lang w:val="en-US" w:eastAsia="zh-CN"/>
        </w:rPr>
        <w:t>省级专精特新企业，且未获得省级奖补的，给予一次性奖励</w:t>
      </w:r>
      <w:r>
        <w:rPr>
          <w:rFonts w:hint="eastAsia" w:ascii="仿宋" w:hAnsi="仿宋" w:eastAsia="仿宋" w:cs="仿宋"/>
          <w:b w:val="0"/>
          <w:i w:val="0"/>
          <w:snapToGrid/>
          <w:color w:val="000000"/>
          <w:spacing w:val="-4"/>
          <w:sz w:val="32"/>
          <w:shd w:val="clear" w:color="auto" w:fill="FFFFFF"/>
          <w:lang w:val="en-US" w:eastAsia="zh-CN"/>
        </w:rPr>
        <w:t>1</w:t>
      </w:r>
      <w:r>
        <w:rPr>
          <w:rFonts w:hint="default" w:ascii="仿宋" w:hAnsi="仿宋" w:eastAsia="仿宋" w:cs="仿宋"/>
          <w:b w:val="0"/>
          <w:i w:val="0"/>
          <w:snapToGrid/>
          <w:color w:val="000000"/>
          <w:spacing w:val="-4"/>
          <w:sz w:val="32"/>
          <w:shd w:val="clear" w:color="auto" w:fill="FFFFFF"/>
          <w:lang w:val="en-US" w:eastAsia="zh-CN"/>
        </w:rPr>
        <w:t>0万元，</w:t>
      </w:r>
      <w:r>
        <w:rPr>
          <w:rFonts w:hint="eastAsia" w:ascii="仿宋" w:hAnsi="仿宋" w:eastAsia="仿宋" w:cs="仿宋"/>
          <w:b w:val="0"/>
          <w:i w:val="0"/>
          <w:snapToGrid/>
          <w:color w:val="000000"/>
          <w:spacing w:val="-4"/>
          <w:sz w:val="32"/>
          <w:shd w:val="clear" w:color="auto" w:fill="FFFFFF"/>
          <w:lang w:val="en-US" w:eastAsia="zh-CN"/>
        </w:rPr>
        <w:t>新增的省专精特新冠军企业给予一次性奖励20万元，</w:t>
      </w:r>
      <w:r>
        <w:rPr>
          <w:rFonts w:hint="default" w:ascii="仿宋" w:hAnsi="仿宋" w:eastAsia="仿宋" w:cs="仿宋"/>
          <w:b w:val="0"/>
          <w:i w:val="0"/>
          <w:snapToGrid/>
          <w:color w:val="000000"/>
          <w:spacing w:val="-4"/>
          <w:sz w:val="32"/>
          <w:shd w:val="clear" w:color="auto" w:fill="FFFFFF"/>
          <w:lang w:val="en-US" w:eastAsia="zh-CN"/>
        </w:rPr>
        <w:t>新增的专精特新“小巨人”企业给予一次性奖励40万元，新增的</w:t>
      </w:r>
      <w:r>
        <w:rPr>
          <w:rFonts w:hint="eastAsia" w:ascii="仿宋" w:hAnsi="仿宋" w:eastAsia="仿宋" w:cs="仿宋"/>
          <w:b w:val="0"/>
          <w:i w:val="0"/>
          <w:snapToGrid/>
          <w:color w:val="000000"/>
          <w:spacing w:val="-4"/>
          <w:sz w:val="32"/>
          <w:shd w:val="clear" w:color="auto" w:fill="FFFFFF"/>
          <w:lang w:val="en-US" w:eastAsia="zh-CN"/>
        </w:rPr>
        <w:t>国家级</w:t>
      </w:r>
      <w:r>
        <w:rPr>
          <w:rFonts w:hint="default" w:ascii="仿宋" w:hAnsi="仿宋" w:eastAsia="仿宋" w:cs="仿宋"/>
          <w:b w:val="0"/>
          <w:i w:val="0"/>
          <w:snapToGrid/>
          <w:color w:val="000000"/>
          <w:spacing w:val="-4"/>
          <w:sz w:val="32"/>
          <w:shd w:val="clear" w:color="auto" w:fill="FFFFFF"/>
          <w:lang w:val="en-US" w:eastAsia="zh-CN"/>
        </w:rPr>
        <w:t>单项冠军企业给予一次性奖励50万元</w:t>
      </w:r>
      <w:r>
        <w:rPr>
          <w:rFonts w:hint="eastAsia" w:ascii="仿宋" w:hAnsi="仿宋" w:eastAsia="仿宋" w:cs="仿宋"/>
          <w:b w:val="0"/>
          <w:i w:val="0"/>
          <w:snapToGrid/>
          <w:color w:val="000000"/>
          <w:spacing w:val="-4"/>
          <w:sz w:val="32"/>
          <w:shd w:val="clear" w:color="auto" w:fill="FFFFFF"/>
          <w:lang w:val="en-US" w:eastAsia="zh-CN"/>
        </w:rPr>
        <w:t>。</w:t>
      </w:r>
      <w:r>
        <w:rPr>
          <w:rFonts w:hint="default" w:ascii="仿宋" w:hAnsi="仿宋" w:eastAsia="仿宋" w:cs="仿宋"/>
          <w:b w:val="0"/>
          <w:i w:val="0"/>
          <w:snapToGrid/>
          <w:color w:val="000000"/>
          <w:spacing w:val="-4"/>
          <w:sz w:val="32"/>
          <w:shd w:val="clear" w:color="auto" w:fill="FFFFFF"/>
          <w:lang w:val="en-US" w:eastAsia="zh-CN"/>
        </w:rPr>
        <w:t>对专精特新中小企业当年发生的一年期或以内的流动资金贷款给予贴息奖补。贴息标准按照上年末一年期LPR（贷款市场报价利率）的50%予以执行，专精特新“小巨人”企业每户企业补贴不超过100万元，省级专精特新企业每户企业补贴不超过80万元，市级精特新企业每户企业补贴不超过50万元。（</w:t>
      </w:r>
      <w:r>
        <w:rPr>
          <w:rFonts w:hint="eastAsia" w:ascii="仿宋" w:hAnsi="仿宋" w:eastAsia="仿宋" w:cs="仿宋"/>
          <w:b w:val="0"/>
          <w:i w:val="0"/>
          <w:snapToGrid/>
          <w:color w:val="000000"/>
          <w:spacing w:val="-4"/>
          <w:sz w:val="32"/>
          <w:shd w:val="clear" w:color="auto" w:fill="FFFFFF"/>
          <w:lang w:val="en-US" w:eastAsia="zh-CN"/>
        </w:rPr>
        <w:t>责任单位：</w:t>
      </w:r>
      <w:r>
        <w:rPr>
          <w:rFonts w:hint="default" w:ascii="仿宋" w:hAnsi="仿宋" w:eastAsia="仿宋" w:cs="仿宋"/>
          <w:b w:val="0"/>
          <w:i w:val="0"/>
          <w:snapToGrid/>
          <w:color w:val="000000"/>
          <w:spacing w:val="-4"/>
          <w:sz w:val="32"/>
          <w:shd w:val="clear" w:color="auto" w:fill="FFFFFF"/>
          <w:lang w:val="en-US" w:eastAsia="zh-CN"/>
        </w:rPr>
        <w:t>市经信局、</w:t>
      </w:r>
      <w:r>
        <w:rPr>
          <w:rFonts w:hint="eastAsia" w:ascii="仿宋" w:hAnsi="仿宋" w:eastAsia="仿宋" w:cs="仿宋"/>
          <w:b w:val="0"/>
          <w:i w:val="0"/>
          <w:snapToGrid/>
          <w:color w:val="000000"/>
          <w:spacing w:val="-4"/>
          <w:sz w:val="32"/>
          <w:shd w:val="clear" w:color="auto" w:fill="FFFFFF"/>
          <w:lang w:val="en-US" w:eastAsia="zh-CN"/>
        </w:rPr>
        <w:t>市发改委、市科技局、</w:t>
      </w:r>
      <w:r>
        <w:rPr>
          <w:rFonts w:hint="default" w:ascii="仿宋" w:hAnsi="仿宋" w:eastAsia="仿宋" w:cs="仿宋"/>
          <w:b w:val="0"/>
          <w:i w:val="0"/>
          <w:snapToGrid/>
          <w:color w:val="000000"/>
          <w:spacing w:val="-4"/>
          <w:sz w:val="32"/>
          <w:shd w:val="clear" w:color="auto" w:fill="FFFFFF"/>
          <w:lang w:val="en-US" w:eastAsia="zh-CN"/>
        </w:rPr>
        <w:t>市财政局、市金融监管局、人行淮南中心支行、淮南银保监分局，各县区（园区）按职责分工）</w:t>
      </w:r>
    </w:p>
    <w:p>
      <w:pPr>
        <w:keepNext w:val="0"/>
        <w:keepLines w:val="0"/>
        <w:pageBreakBefore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 w:cs="Times New Roman"/>
          <w:b/>
          <w:bCs/>
          <w:color w:val="000000"/>
          <w:sz w:val="32"/>
          <w:szCs w:val="32"/>
          <w:u w:val="none"/>
          <w:lang w:val="en-US" w:eastAsia="zh-CN"/>
        </w:rPr>
      </w:pPr>
      <w:r>
        <w:rPr>
          <w:rFonts w:hint="default" w:ascii="Times New Roman" w:hAnsi="Times New Roman" w:eastAsia="仿宋" w:cs="Times New Roman"/>
          <w:b/>
          <w:bCs/>
          <w:color w:val="000000"/>
          <w:sz w:val="32"/>
          <w:szCs w:val="32"/>
          <w:u w:val="none"/>
          <w:lang w:val="en-US" w:eastAsia="zh-CN"/>
        </w:rPr>
        <w:t>（</w:t>
      </w:r>
      <w:r>
        <w:rPr>
          <w:rFonts w:hint="eastAsia" w:ascii="Times New Roman" w:hAnsi="Times New Roman" w:eastAsia="仿宋" w:cs="Times New Roman"/>
          <w:b/>
          <w:bCs/>
          <w:color w:val="000000"/>
          <w:sz w:val="32"/>
          <w:szCs w:val="32"/>
          <w:u w:val="none"/>
          <w:lang w:val="en-US" w:eastAsia="zh-CN"/>
        </w:rPr>
        <w:t>二</w:t>
      </w:r>
      <w:r>
        <w:rPr>
          <w:rFonts w:hint="default" w:ascii="Times New Roman" w:hAnsi="Times New Roman" w:eastAsia="仿宋" w:cs="Times New Roman"/>
          <w:b/>
          <w:bCs/>
          <w:color w:val="000000"/>
          <w:sz w:val="32"/>
          <w:szCs w:val="32"/>
          <w:u w:val="none"/>
          <w:lang w:val="en-US" w:eastAsia="zh-CN"/>
        </w:rPr>
        <w:t>）实施金融赋能，帮扶企业持续做强</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24" w:firstLineChars="0"/>
        <w:jc w:val="both"/>
        <w:textAlignment w:val="auto"/>
        <w:outlineLvl w:val="9"/>
        <w:rPr>
          <w:rFonts w:hint="default" w:ascii="仿宋" w:hAnsi="仿宋" w:eastAsia="仿宋" w:cs="仿宋"/>
          <w:b w:val="0"/>
          <w:i w:val="0"/>
          <w:snapToGrid/>
          <w:color w:val="000000"/>
          <w:spacing w:val="-4"/>
          <w:sz w:val="32"/>
          <w:shd w:val="clear" w:color="auto" w:fill="FFFFFF"/>
          <w:lang w:val="en-US" w:eastAsia="zh-CN"/>
        </w:rPr>
      </w:pPr>
      <w:r>
        <w:rPr>
          <w:rFonts w:hint="default" w:ascii="仿宋" w:hAnsi="仿宋" w:eastAsia="仿宋" w:cs="仿宋"/>
          <w:b w:val="0"/>
          <w:i w:val="0"/>
          <w:snapToGrid/>
          <w:color w:val="000000"/>
          <w:spacing w:val="-4"/>
          <w:sz w:val="32"/>
          <w:shd w:val="clear" w:color="auto" w:fill="FFFFFF"/>
          <w:lang w:val="en-US" w:eastAsia="zh-CN"/>
        </w:rPr>
        <w:t>引导金融机构完善统计监测及绩效考核制度，推动实现制造业贷款增速高于各项贷款平均增速、制造业中长期贷款占比逐年提高。鼓励银行业金融机构为专精特新企业打造“专精特新贷”“无还本续贷”“信用贷”等信贷产品。持续开展“十行千亿万企”融资服务</w:t>
      </w:r>
      <w:r>
        <w:rPr>
          <w:rFonts w:hint="eastAsia" w:ascii="仿宋" w:hAnsi="仿宋" w:eastAsia="仿宋" w:cs="仿宋"/>
          <w:b w:val="0"/>
          <w:i w:val="0"/>
          <w:snapToGrid/>
          <w:color w:val="000000"/>
          <w:spacing w:val="-4"/>
          <w:sz w:val="32"/>
          <w:shd w:val="clear" w:color="auto" w:fill="FFFFFF"/>
          <w:lang w:val="en-US" w:eastAsia="zh-CN"/>
        </w:rPr>
        <w:t>淮南</w:t>
      </w:r>
      <w:r>
        <w:rPr>
          <w:rFonts w:hint="default" w:ascii="仿宋" w:hAnsi="仿宋" w:eastAsia="仿宋" w:cs="仿宋"/>
          <w:b w:val="0"/>
          <w:i w:val="0"/>
          <w:snapToGrid/>
          <w:color w:val="000000"/>
          <w:spacing w:val="-4"/>
          <w:sz w:val="32"/>
          <w:shd w:val="clear" w:color="auto" w:fill="FFFFFF"/>
          <w:lang w:val="en-US" w:eastAsia="zh-CN"/>
        </w:rPr>
        <w:t>专项行动，建立专精特新企业名单推送共享机制，鼓励合作银行每年安排不少</w:t>
      </w:r>
      <w:r>
        <w:rPr>
          <w:rFonts w:hint="eastAsia" w:ascii="仿宋" w:hAnsi="仿宋" w:eastAsia="仿宋" w:cs="仿宋"/>
          <w:b w:val="0"/>
          <w:i w:val="0"/>
          <w:snapToGrid/>
          <w:color w:val="000000"/>
          <w:spacing w:val="-4"/>
          <w:sz w:val="32"/>
          <w:shd w:val="clear" w:color="auto" w:fill="FFFFFF"/>
          <w:lang w:val="en-US" w:eastAsia="zh-CN"/>
        </w:rPr>
        <w:t>于100</w:t>
      </w:r>
      <w:r>
        <w:rPr>
          <w:rFonts w:hint="default" w:ascii="仿宋" w:hAnsi="仿宋" w:eastAsia="仿宋" w:cs="仿宋"/>
          <w:b w:val="0"/>
          <w:i w:val="0"/>
          <w:snapToGrid/>
          <w:color w:val="000000"/>
          <w:spacing w:val="-4"/>
          <w:sz w:val="32"/>
          <w:shd w:val="clear" w:color="auto" w:fill="FFFFFF"/>
          <w:lang w:val="en-US" w:eastAsia="zh-CN"/>
        </w:rPr>
        <w:t>亿元专精特新专项贷，重点支持专精特新等中小企业融资。大力发展供应链金融，支持中小企业以应收账款担保融资，机关、事业单位和大型企业应当自中小企业提出确权请求之日起30日内确认债权债务关系。设立专精特新企业二期子基金5亿元，吸引集聚社会资本设立私募股权投资基金，坚持以基金为纽带，推广“投资 招引”“融资 融智”等模式，投早投小投长期</w:t>
      </w:r>
      <w:r>
        <w:rPr>
          <w:rFonts w:hint="eastAsia" w:ascii="仿宋" w:hAnsi="仿宋" w:eastAsia="仿宋" w:cs="仿宋"/>
          <w:b w:val="0"/>
          <w:i w:val="0"/>
          <w:snapToGrid/>
          <w:color w:val="000000"/>
          <w:spacing w:val="-4"/>
          <w:sz w:val="32"/>
          <w:shd w:val="clear" w:color="auto" w:fill="FFFFFF"/>
          <w:lang w:val="en-US" w:eastAsia="zh-CN"/>
        </w:rPr>
        <w:t>，</w:t>
      </w:r>
      <w:r>
        <w:rPr>
          <w:rFonts w:hint="default" w:ascii="仿宋" w:hAnsi="仿宋" w:eastAsia="仿宋" w:cs="仿宋"/>
          <w:b w:val="0"/>
          <w:i w:val="0"/>
          <w:snapToGrid/>
          <w:color w:val="000000"/>
          <w:spacing w:val="-4"/>
          <w:sz w:val="32"/>
          <w:shd w:val="clear" w:color="auto" w:fill="FFFFFF"/>
          <w:lang w:val="en-US" w:eastAsia="zh-CN"/>
        </w:rPr>
        <w:t>不断加大对专精特新企业的资金支持</w:t>
      </w:r>
      <w:r>
        <w:rPr>
          <w:rFonts w:hint="eastAsia" w:ascii="仿宋" w:hAnsi="仿宋" w:eastAsia="仿宋" w:cs="仿宋"/>
          <w:b w:val="0"/>
          <w:i w:val="0"/>
          <w:snapToGrid/>
          <w:color w:val="000000"/>
          <w:spacing w:val="-4"/>
          <w:sz w:val="32"/>
          <w:shd w:val="clear" w:color="auto" w:fill="FFFFFF"/>
          <w:lang w:val="en-US" w:eastAsia="zh-CN"/>
        </w:rPr>
        <w:t>，</w:t>
      </w:r>
      <w:r>
        <w:rPr>
          <w:rFonts w:hint="default" w:ascii="仿宋" w:hAnsi="仿宋" w:eastAsia="仿宋" w:cs="仿宋"/>
          <w:b w:val="0"/>
          <w:i w:val="0"/>
          <w:snapToGrid/>
          <w:color w:val="000000"/>
          <w:spacing w:val="-4"/>
          <w:sz w:val="32"/>
          <w:shd w:val="clear" w:color="auto" w:fill="FFFFFF"/>
          <w:lang w:val="en-US" w:eastAsia="zh-CN"/>
        </w:rPr>
        <w:t>鼓励引进培育一批专精特新企业。建立专精特新企业上市后备资源库，提供上市政务服务绿色通道，</w:t>
      </w:r>
      <w:r>
        <w:rPr>
          <w:rFonts w:hint="eastAsia" w:ascii="仿宋" w:hAnsi="仿宋" w:eastAsia="仿宋" w:cs="仿宋"/>
          <w:b w:val="0"/>
          <w:i w:val="0"/>
          <w:snapToGrid/>
          <w:color w:val="000000"/>
          <w:spacing w:val="-4"/>
          <w:sz w:val="32"/>
          <w:shd w:val="clear" w:color="auto" w:fill="FFFFFF"/>
          <w:lang w:val="en-US" w:eastAsia="zh-CN"/>
        </w:rPr>
        <w:t>对在境内证券交易所首发上市的企业，分阶段给予奖励1200万元。本市企业在境外成功上市后，给予一次性奖励800万元。</w:t>
      </w:r>
      <w:r>
        <w:rPr>
          <w:rFonts w:hint="default" w:ascii="仿宋" w:hAnsi="仿宋" w:eastAsia="仿宋" w:cs="仿宋"/>
          <w:b w:val="0"/>
          <w:i w:val="0"/>
          <w:snapToGrid/>
          <w:color w:val="000000"/>
          <w:spacing w:val="-4"/>
          <w:sz w:val="32"/>
          <w:shd w:val="clear" w:color="auto" w:fill="FFFFFF"/>
          <w:lang w:val="en-US" w:eastAsia="zh-CN"/>
        </w:rPr>
        <w:t>对本市“专精特新”企业在省区域性股权市场股改</w:t>
      </w:r>
      <w:r>
        <w:rPr>
          <w:rFonts w:hint="eastAsia" w:ascii="仿宋" w:hAnsi="仿宋" w:eastAsia="仿宋" w:cs="仿宋"/>
          <w:b w:val="0"/>
          <w:i w:val="0"/>
          <w:snapToGrid/>
          <w:color w:val="000000"/>
          <w:spacing w:val="-4"/>
          <w:sz w:val="32"/>
          <w:shd w:val="clear" w:color="auto" w:fill="FFFFFF"/>
          <w:lang w:val="en-US" w:eastAsia="zh-CN"/>
        </w:rPr>
        <w:t>板</w:t>
      </w:r>
      <w:r>
        <w:rPr>
          <w:rFonts w:hint="default" w:ascii="仿宋" w:hAnsi="仿宋" w:eastAsia="仿宋" w:cs="仿宋"/>
          <w:b w:val="0"/>
          <w:i w:val="0"/>
          <w:snapToGrid/>
          <w:color w:val="000000"/>
          <w:spacing w:val="-4"/>
          <w:sz w:val="32"/>
          <w:shd w:val="clear" w:color="auto" w:fill="FFFFFF"/>
          <w:lang w:val="en-US" w:eastAsia="zh-CN"/>
        </w:rPr>
        <w:t>块（科创专版精选层、成长版）成功挂牌的，给予一次性奖励40万元；在省区域性股权市场非股改</w:t>
      </w:r>
      <w:r>
        <w:rPr>
          <w:rFonts w:hint="eastAsia" w:ascii="仿宋" w:hAnsi="仿宋" w:eastAsia="仿宋" w:cs="仿宋"/>
          <w:b w:val="0"/>
          <w:i w:val="0"/>
          <w:snapToGrid/>
          <w:color w:val="000000"/>
          <w:spacing w:val="-4"/>
          <w:sz w:val="32"/>
          <w:shd w:val="clear" w:color="auto" w:fill="FFFFFF"/>
          <w:lang w:val="en-US" w:eastAsia="zh-CN"/>
        </w:rPr>
        <w:t>板</w:t>
      </w:r>
      <w:r>
        <w:rPr>
          <w:rFonts w:hint="default" w:ascii="仿宋" w:hAnsi="仿宋" w:eastAsia="仿宋" w:cs="仿宋"/>
          <w:b w:val="0"/>
          <w:i w:val="0"/>
          <w:snapToGrid/>
          <w:color w:val="000000"/>
          <w:spacing w:val="-4"/>
          <w:sz w:val="32"/>
          <w:shd w:val="clear" w:color="auto" w:fill="FFFFFF"/>
          <w:lang w:val="en-US" w:eastAsia="zh-CN"/>
        </w:rPr>
        <w:t>块成功挂牌的，给予一次性奖励7万元;企业在省区域性股权市场非股改</w:t>
      </w:r>
      <w:r>
        <w:rPr>
          <w:rFonts w:hint="eastAsia" w:ascii="仿宋" w:hAnsi="仿宋" w:eastAsia="仿宋" w:cs="仿宋"/>
          <w:b w:val="0"/>
          <w:i w:val="0"/>
          <w:snapToGrid/>
          <w:color w:val="000000"/>
          <w:spacing w:val="-4"/>
          <w:sz w:val="32"/>
          <w:shd w:val="clear" w:color="auto" w:fill="FFFFFF"/>
          <w:lang w:val="en-US" w:eastAsia="zh-CN"/>
        </w:rPr>
        <w:t>板</w:t>
      </w:r>
      <w:r>
        <w:rPr>
          <w:rFonts w:hint="default" w:ascii="仿宋" w:hAnsi="仿宋" w:eastAsia="仿宋" w:cs="仿宋"/>
          <w:b w:val="0"/>
          <w:i w:val="0"/>
          <w:snapToGrid/>
          <w:color w:val="000000"/>
          <w:spacing w:val="-4"/>
          <w:sz w:val="32"/>
          <w:shd w:val="clear" w:color="auto" w:fill="FFFFFF"/>
          <w:lang w:val="en-US" w:eastAsia="zh-CN"/>
        </w:rPr>
        <w:t>块挂牌后完成股改的，给予一次性奖励33万元。对融资担保机构在按照省规定的优惠担保费率标准下开展的为省级专精特新企业信用担保的贷款业务，在省财政对担保费给予补贴的基础上，市财政再按照省财政补贴费总额的30%给予补贴。（</w:t>
      </w:r>
      <w:r>
        <w:rPr>
          <w:rFonts w:hint="eastAsia" w:ascii="仿宋" w:hAnsi="仿宋" w:eastAsia="仿宋" w:cs="仿宋"/>
          <w:b w:val="0"/>
          <w:i w:val="0"/>
          <w:snapToGrid/>
          <w:color w:val="000000"/>
          <w:spacing w:val="-4"/>
          <w:sz w:val="32"/>
          <w:shd w:val="clear" w:color="auto" w:fill="FFFFFF"/>
          <w:lang w:val="en-US" w:eastAsia="zh-CN"/>
        </w:rPr>
        <w:t>责任单位：</w:t>
      </w:r>
      <w:r>
        <w:rPr>
          <w:rFonts w:hint="default" w:ascii="仿宋" w:hAnsi="仿宋" w:eastAsia="仿宋" w:cs="仿宋"/>
          <w:b w:val="0"/>
          <w:i w:val="0"/>
          <w:snapToGrid/>
          <w:color w:val="000000"/>
          <w:spacing w:val="-4"/>
          <w:sz w:val="32"/>
          <w:shd w:val="clear" w:color="auto" w:fill="FFFFFF"/>
          <w:lang w:val="en-US" w:eastAsia="zh-CN"/>
        </w:rPr>
        <w:t>市经信局、</w:t>
      </w:r>
      <w:r>
        <w:rPr>
          <w:rFonts w:hint="eastAsia" w:ascii="仿宋" w:hAnsi="仿宋" w:eastAsia="仿宋" w:cs="仿宋"/>
          <w:b w:val="0"/>
          <w:i w:val="0"/>
          <w:snapToGrid/>
          <w:color w:val="000000"/>
          <w:spacing w:val="-4"/>
          <w:sz w:val="32"/>
          <w:shd w:val="clear" w:color="auto" w:fill="FFFFFF"/>
          <w:lang w:val="en-US" w:eastAsia="zh-CN"/>
        </w:rPr>
        <w:t>市科技局、</w:t>
      </w:r>
      <w:r>
        <w:rPr>
          <w:rFonts w:hint="default" w:ascii="仿宋" w:hAnsi="仿宋" w:eastAsia="仿宋" w:cs="仿宋"/>
          <w:b w:val="0"/>
          <w:i w:val="0"/>
          <w:snapToGrid/>
          <w:color w:val="000000"/>
          <w:spacing w:val="-4"/>
          <w:sz w:val="32"/>
          <w:shd w:val="clear" w:color="auto" w:fill="FFFFFF"/>
          <w:lang w:val="en-US" w:eastAsia="zh-CN"/>
        </w:rPr>
        <w:t>市金融监管局、市财政局、人行淮南中心支行、淮南银保监分局，各县区（园区）按职责分工）</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uto"/>
        <w:ind w:firstLine="642" w:firstLineChars="200"/>
        <w:textAlignment w:val="auto"/>
        <w:rPr>
          <w:rFonts w:hint="default" w:ascii="Times New Roman" w:hAnsi="Times New Roman" w:eastAsia="仿宋" w:cs="Times New Roman"/>
          <w:b/>
          <w:bCs w:val="0"/>
          <w:color w:val="000000"/>
          <w:kern w:val="0"/>
          <w:sz w:val="32"/>
          <w:szCs w:val="32"/>
          <w:u w:val="none"/>
          <w:lang w:val="en-US" w:eastAsia="zh-CN"/>
        </w:rPr>
      </w:pPr>
      <w:r>
        <w:rPr>
          <w:rFonts w:hint="eastAsia" w:ascii="Times New Roman" w:hAnsi="Times New Roman" w:eastAsia="仿宋" w:cs="Times New Roman"/>
          <w:b/>
          <w:bCs w:val="0"/>
          <w:color w:val="000000"/>
          <w:kern w:val="0"/>
          <w:sz w:val="32"/>
          <w:szCs w:val="32"/>
          <w:lang w:val="en-US" w:eastAsia="zh-CN"/>
        </w:rPr>
        <w:t>（三）</w:t>
      </w:r>
      <w:r>
        <w:rPr>
          <w:rFonts w:hint="default" w:ascii="Times New Roman" w:hAnsi="Times New Roman" w:eastAsia="仿宋" w:cs="Times New Roman"/>
          <w:b/>
          <w:bCs w:val="0"/>
          <w:color w:val="000000"/>
          <w:kern w:val="0"/>
          <w:sz w:val="32"/>
          <w:szCs w:val="32"/>
          <w:lang w:val="en-US" w:eastAsia="zh-CN"/>
        </w:rPr>
        <w:t>实施创新赋能，</w:t>
      </w:r>
      <w:r>
        <w:rPr>
          <w:rFonts w:hint="default" w:ascii="Times New Roman" w:hAnsi="Times New Roman" w:eastAsia="仿宋" w:cs="Times New Roman"/>
          <w:b/>
          <w:bCs w:val="0"/>
          <w:color w:val="000000"/>
          <w:kern w:val="0"/>
          <w:sz w:val="32"/>
          <w:szCs w:val="32"/>
          <w:u w:val="none"/>
          <w:lang w:val="en-US" w:eastAsia="zh-CN"/>
        </w:rPr>
        <w:t>激发企业创业活力</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24" w:firstLineChars="0"/>
        <w:jc w:val="both"/>
        <w:textAlignment w:val="auto"/>
        <w:outlineLvl w:val="9"/>
        <w:rPr>
          <w:rFonts w:hint="default" w:ascii="仿宋" w:hAnsi="仿宋" w:eastAsia="仿宋" w:cs="仿宋"/>
          <w:b w:val="0"/>
          <w:i w:val="0"/>
          <w:snapToGrid/>
          <w:color w:val="000000"/>
          <w:spacing w:val="-4"/>
          <w:sz w:val="32"/>
          <w:shd w:val="clear" w:color="auto" w:fill="FFFFFF"/>
          <w:lang w:val="en-US" w:eastAsia="zh-CN"/>
        </w:rPr>
      </w:pPr>
      <w:r>
        <w:rPr>
          <w:rFonts w:hint="eastAsia" w:ascii="仿宋" w:hAnsi="仿宋" w:eastAsia="仿宋" w:cs="仿宋"/>
          <w:b w:val="0"/>
          <w:i w:val="0"/>
          <w:snapToGrid/>
          <w:color w:val="000000"/>
          <w:spacing w:val="-4"/>
          <w:sz w:val="32"/>
          <w:shd w:val="clear" w:color="auto" w:fill="FFFFFF"/>
          <w:lang w:val="en-US" w:eastAsia="zh-CN"/>
        </w:rPr>
        <w:t>提升企业技术创新能力,</w:t>
      </w:r>
      <w:r>
        <w:rPr>
          <w:rFonts w:hint="default" w:ascii="仿宋" w:hAnsi="仿宋" w:eastAsia="仿宋" w:cs="仿宋"/>
          <w:b w:val="0"/>
          <w:i w:val="0"/>
          <w:snapToGrid/>
          <w:color w:val="000000"/>
          <w:spacing w:val="-4"/>
          <w:sz w:val="32"/>
          <w:shd w:val="clear" w:color="auto" w:fill="FFFFFF"/>
          <w:lang w:val="en-US" w:eastAsia="zh-CN"/>
        </w:rPr>
        <w:t>引导企业加大研发投入</w:t>
      </w:r>
      <w:r>
        <w:rPr>
          <w:rFonts w:hint="eastAsia" w:ascii="仿宋" w:hAnsi="仿宋" w:eastAsia="仿宋" w:cs="仿宋"/>
          <w:b w:val="0"/>
          <w:i w:val="0"/>
          <w:snapToGrid/>
          <w:color w:val="000000"/>
          <w:spacing w:val="-4"/>
          <w:sz w:val="32"/>
          <w:shd w:val="clear" w:color="auto" w:fill="FFFFFF"/>
          <w:lang w:val="en-US" w:eastAsia="zh-CN"/>
        </w:rPr>
        <w:t>，鼓励企业持续提升研发费用总额与同期销售收入总额占比。支持企业申报国家、省级、市级科技计划项目。</w:t>
      </w:r>
      <w:r>
        <w:rPr>
          <w:rFonts w:hint="default" w:ascii="仿宋" w:hAnsi="仿宋" w:eastAsia="仿宋" w:cs="仿宋"/>
          <w:b w:val="0"/>
          <w:i w:val="0"/>
          <w:snapToGrid/>
          <w:color w:val="000000"/>
          <w:spacing w:val="-4"/>
          <w:sz w:val="32"/>
          <w:shd w:val="clear" w:color="auto" w:fill="FFFFFF"/>
          <w:lang w:val="en-US" w:eastAsia="zh-CN"/>
        </w:rPr>
        <w:t>引导和鼓励企业大力实施知识产权战略，</w:t>
      </w:r>
      <w:r>
        <w:rPr>
          <w:rFonts w:hint="eastAsia" w:ascii="仿宋" w:hAnsi="仿宋" w:eastAsia="仿宋" w:cs="仿宋"/>
          <w:b w:val="0"/>
          <w:i w:val="0"/>
          <w:snapToGrid/>
          <w:color w:val="000000"/>
          <w:spacing w:val="-4"/>
          <w:sz w:val="32"/>
          <w:shd w:val="clear" w:color="auto" w:fill="FFFFFF"/>
          <w:lang w:val="en-US" w:eastAsia="zh-CN"/>
        </w:rPr>
        <w:t>积极申请发明专利、实用新型专利、外观设计专利、软件著作权等。对获得自主知识产权奖励的科技型企业，按照市人民政府关于财政支持产业发展政策兑现奖补资金。支持高新技术工业企业申报科技领军企业，对首次通过认定的科技领军企业推荐申请省级财政资金奖励，享受科技计划项目指标单列以及优先推荐申报国家科技创新2030重大项目、国家重点研发计划。支持专精特新</w:t>
      </w:r>
      <w:r>
        <w:rPr>
          <w:rFonts w:hint="default" w:ascii="仿宋" w:hAnsi="仿宋" w:eastAsia="仿宋" w:cs="仿宋"/>
          <w:b w:val="0"/>
          <w:i w:val="0"/>
          <w:snapToGrid/>
          <w:color w:val="000000"/>
          <w:spacing w:val="-4"/>
          <w:sz w:val="32"/>
          <w:shd w:val="clear" w:color="auto" w:fill="FFFFFF"/>
          <w:lang w:val="en-US" w:eastAsia="zh-CN"/>
        </w:rPr>
        <w:t>企业创建各类创新平台，建设各类“双创”载体，参与各类“双创”大赛。对开展校企合作的专精特新企业，</w:t>
      </w:r>
      <w:r>
        <w:rPr>
          <w:rFonts w:hint="eastAsia" w:ascii="仿宋" w:hAnsi="仿宋" w:eastAsia="仿宋" w:cs="仿宋"/>
          <w:b w:val="0"/>
          <w:i w:val="0"/>
          <w:snapToGrid/>
          <w:color w:val="000000"/>
          <w:spacing w:val="-4"/>
          <w:sz w:val="32"/>
          <w:shd w:val="clear" w:color="auto" w:fill="FFFFFF"/>
          <w:lang w:val="en-US" w:eastAsia="zh-CN"/>
        </w:rPr>
        <w:t>当年研发投入占上一年营业收入总额比重超过3%，</w:t>
      </w:r>
      <w:r>
        <w:rPr>
          <w:rFonts w:hint="default" w:ascii="仿宋" w:hAnsi="仿宋" w:eastAsia="仿宋" w:cs="仿宋"/>
          <w:b w:val="0"/>
          <w:i w:val="0"/>
          <w:snapToGrid/>
          <w:color w:val="000000"/>
          <w:spacing w:val="-4"/>
          <w:sz w:val="32"/>
          <w:shd w:val="clear" w:color="auto" w:fill="FFFFFF"/>
          <w:lang w:val="en-US" w:eastAsia="zh-CN"/>
        </w:rPr>
        <w:t>运营状况良好的，给予50%的合作研发经费奖补，最高不超过10万元。对新组建、新认定、运行评估优秀的国家级工程研究中心、产业创新中心、企业技术中心，给予一次性奖励50万元。对新组建、新认定、运行评估优秀的</w:t>
      </w:r>
      <w:r>
        <w:rPr>
          <w:rFonts w:hint="eastAsia" w:ascii="仿宋" w:hAnsi="仿宋" w:eastAsia="仿宋" w:cs="仿宋"/>
          <w:b w:val="0"/>
          <w:i w:val="0"/>
          <w:snapToGrid/>
          <w:color w:val="000000"/>
          <w:spacing w:val="-4"/>
          <w:sz w:val="32"/>
          <w:shd w:val="clear" w:color="auto" w:fill="FFFFFF"/>
          <w:lang w:val="en-US" w:eastAsia="zh-CN"/>
        </w:rPr>
        <w:t>省级</w:t>
      </w:r>
      <w:r>
        <w:rPr>
          <w:rFonts w:hint="default" w:ascii="仿宋" w:hAnsi="仿宋" w:eastAsia="仿宋" w:cs="仿宋"/>
          <w:b w:val="0"/>
          <w:i w:val="0"/>
          <w:snapToGrid/>
          <w:color w:val="000000"/>
          <w:spacing w:val="-4"/>
          <w:sz w:val="32"/>
          <w:shd w:val="clear" w:color="auto" w:fill="FFFFFF"/>
          <w:lang w:val="en-US" w:eastAsia="zh-CN"/>
        </w:rPr>
        <w:t>工程研究中心</w:t>
      </w:r>
      <w:r>
        <w:rPr>
          <w:rFonts w:hint="eastAsia" w:ascii="仿宋" w:hAnsi="仿宋" w:eastAsia="仿宋" w:cs="仿宋"/>
          <w:b w:val="0"/>
          <w:i w:val="0"/>
          <w:snapToGrid/>
          <w:color w:val="000000"/>
          <w:spacing w:val="-4"/>
          <w:sz w:val="32"/>
          <w:shd w:val="clear" w:color="auto" w:fill="FFFFFF"/>
          <w:lang w:val="en-US" w:eastAsia="zh-CN"/>
        </w:rPr>
        <w:t>、省级工业设计中心</w:t>
      </w:r>
      <w:r>
        <w:rPr>
          <w:rFonts w:hint="default" w:ascii="仿宋" w:hAnsi="仿宋" w:eastAsia="仿宋" w:cs="仿宋"/>
          <w:b w:val="0"/>
          <w:i w:val="0"/>
          <w:snapToGrid/>
          <w:color w:val="000000"/>
          <w:spacing w:val="-4"/>
          <w:sz w:val="32"/>
          <w:shd w:val="clear" w:color="auto" w:fill="FFFFFF"/>
          <w:lang w:val="en-US" w:eastAsia="zh-CN"/>
        </w:rPr>
        <w:t>和</w:t>
      </w:r>
      <w:r>
        <w:rPr>
          <w:rFonts w:hint="eastAsia" w:ascii="仿宋" w:hAnsi="仿宋" w:eastAsia="仿宋" w:cs="仿宋"/>
          <w:b w:val="0"/>
          <w:i w:val="0"/>
          <w:snapToGrid/>
          <w:color w:val="000000"/>
          <w:spacing w:val="-4"/>
          <w:sz w:val="32"/>
          <w:shd w:val="clear" w:color="auto" w:fill="FFFFFF"/>
          <w:lang w:val="en-US" w:eastAsia="zh-CN"/>
        </w:rPr>
        <w:t>省级</w:t>
      </w:r>
      <w:r>
        <w:rPr>
          <w:rFonts w:hint="default" w:ascii="仿宋" w:hAnsi="仿宋" w:eastAsia="仿宋" w:cs="仿宋"/>
          <w:b w:val="0"/>
          <w:i w:val="0"/>
          <w:snapToGrid/>
          <w:color w:val="000000"/>
          <w:spacing w:val="-4"/>
          <w:sz w:val="32"/>
          <w:shd w:val="clear" w:color="auto" w:fill="FFFFFF"/>
          <w:lang w:val="en-US" w:eastAsia="zh-CN"/>
        </w:rPr>
        <w:t>产业创新中心，给予一次性奖励20万元。加大对企业研发的“首台套”“首批次”“首版次”扶持力度</w:t>
      </w:r>
      <w:r>
        <w:rPr>
          <w:rFonts w:hint="eastAsia" w:ascii="仿宋" w:hAnsi="仿宋" w:eastAsia="仿宋" w:cs="仿宋"/>
          <w:b w:val="0"/>
          <w:i w:val="0"/>
          <w:snapToGrid/>
          <w:color w:val="000000"/>
          <w:spacing w:val="-4"/>
          <w:sz w:val="32"/>
          <w:shd w:val="clear" w:color="auto" w:fill="FFFFFF"/>
          <w:lang w:val="en-US" w:eastAsia="zh-CN"/>
        </w:rPr>
        <w:t>，</w:t>
      </w:r>
      <w:r>
        <w:rPr>
          <w:rFonts w:hint="default" w:ascii="仿宋" w:hAnsi="仿宋" w:eastAsia="仿宋" w:cs="仿宋"/>
          <w:b w:val="0"/>
          <w:i w:val="0"/>
          <w:snapToGrid/>
          <w:color w:val="000000"/>
          <w:spacing w:val="-4"/>
          <w:sz w:val="32"/>
          <w:shd w:val="clear" w:color="auto" w:fill="FFFFFF"/>
          <w:lang w:val="en-US" w:eastAsia="zh-CN"/>
        </w:rPr>
        <w:t>对新认定的省级首台（套）重大技术装备、省级首批次新材料、省级首版次软件，且未获得省级奖补的，给予一次性奖</w:t>
      </w:r>
      <w:r>
        <w:rPr>
          <w:rFonts w:hint="eastAsia" w:ascii="仿宋" w:hAnsi="仿宋" w:eastAsia="仿宋" w:cs="仿宋"/>
          <w:b w:val="0"/>
          <w:i w:val="0"/>
          <w:snapToGrid/>
          <w:color w:val="000000"/>
          <w:spacing w:val="-4"/>
          <w:sz w:val="32"/>
          <w:shd w:val="clear" w:color="auto" w:fill="FFFFFF"/>
          <w:lang w:val="en-US" w:eastAsia="zh-CN"/>
        </w:rPr>
        <w:t>励</w:t>
      </w:r>
      <w:r>
        <w:rPr>
          <w:rFonts w:hint="default" w:ascii="仿宋" w:hAnsi="仿宋" w:eastAsia="仿宋" w:cs="仿宋"/>
          <w:b w:val="0"/>
          <w:i w:val="0"/>
          <w:snapToGrid/>
          <w:color w:val="000000"/>
          <w:spacing w:val="-4"/>
          <w:sz w:val="32"/>
          <w:shd w:val="clear" w:color="auto" w:fill="FFFFFF"/>
          <w:lang w:val="en-US" w:eastAsia="zh-CN"/>
        </w:rPr>
        <w:t>20万元。对获得驰名商标企业给予一次性奖励50万元，对获得地理标志证明商标、安徽省商标品牌基地、安徽省商标品牌示范企业给予一次性奖励10万。对获批国家地理标志产品保护的申报组织</w:t>
      </w:r>
      <w:r>
        <w:rPr>
          <w:rFonts w:hint="eastAsia" w:ascii="仿宋" w:hAnsi="仿宋" w:eastAsia="仿宋" w:cs="仿宋"/>
          <w:b w:val="0"/>
          <w:i w:val="0"/>
          <w:snapToGrid/>
          <w:color w:val="000000"/>
          <w:spacing w:val="-4"/>
          <w:sz w:val="32"/>
          <w:shd w:val="clear" w:color="auto" w:fill="FFFFFF"/>
          <w:lang w:val="en-US" w:eastAsia="zh-CN"/>
        </w:rPr>
        <w:t>一次性</w:t>
      </w:r>
      <w:r>
        <w:rPr>
          <w:rFonts w:hint="default" w:ascii="仿宋" w:hAnsi="仿宋" w:eastAsia="仿宋" w:cs="仿宋"/>
          <w:b w:val="0"/>
          <w:i w:val="0"/>
          <w:snapToGrid/>
          <w:color w:val="000000"/>
          <w:spacing w:val="-4"/>
          <w:sz w:val="32"/>
          <w:shd w:val="clear" w:color="auto" w:fill="FFFFFF"/>
          <w:lang w:val="en-US" w:eastAsia="zh-CN"/>
        </w:rPr>
        <w:t>奖励20万元，荣获安徽省政府质量奖的单位</w:t>
      </w:r>
      <w:r>
        <w:rPr>
          <w:rFonts w:hint="eastAsia" w:ascii="仿宋" w:hAnsi="仿宋" w:eastAsia="仿宋" w:cs="仿宋"/>
          <w:b w:val="0"/>
          <w:i w:val="0"/>
          <w:snapToGrid/>
          <w:color w:val="000000"/>
          <w:spacing w:val="-4"/>
          <w:sz w:val="32"/>
          <w:shd w:val="clear" w:color="auto" w:fill="FFFFFF"/>
          <w:lang w:val="en-US" w:eastAsia="zh-CN"/>
        </w:rPr>
        <w:t>一次性</w:t>
      </w:r>
      <w:r>
        <w:rPr>
          <w:rFonts w:hint="default" w:ascii="仿宋" w:hAnsi="仿宋" w:eastAsia="仿宋" w:cs="仿宋"/>
          <w:b w:val="0"/>
          <w:i w:val="0"/>
          <w:snapToGrid/>
          <w:color w:val="000000"/>
          <w:spacing w:val="-4"/>
          <w:sz w:val="32"/>
          <w:shd w:val="clear" w:color="auto" w:fill="FFFFFF"/>
          <w:lang w:val="en-US" w:eastAsia="zh-CN"/>
        </w:rPr>
        <w:t>奖励40万元，荣获皖美品牌示范企业的单位</w:t>
      </w:r>
      <w:r>
        <w:rPr>
          <w:rFonts w:hint="eastAsia" w:ascii="仿宋" w:hAnsi="仿宋" w:eastAsia="仿宋" w:cs="仿宋"/>
          <w:b w:val="0"/>
          <w:i w:val="0"/>
          <w:snapToGrid/>
          <w:color w:val="000000"/>
          <w:spacing w:val="-4"/>
          <w:sz w:val="32"/>
          <w:shd w:val="clear" w:color="auto" w:fill="FFFFFF"/>
          <w:lang w:val="en-US" w:eastAsia="zh-CN"/>
        </w:rPr>
        <w:t>一次性</w:t>
      </w:r>
      <w:r>
        <w:rPr>
          <w:rFonts w:hint="default" w:ascii="仿宋" w:hAnsi="仿宋" w:eastAsia="仿宋" w:cs="仿宋"/>
          <w:b w:val="0"/>
          <w:i w:val="0"/>
          <w:snapToGrid/>
          <w:color w:val="000000"/>
          <w:spacing w:val="-4"/>
          <w:sz w:val="32"/>
          <w:shd w:val="clear" w:color="auto" w:fill="FFFFFF"/>
          <w:lang w:val="en-US" w:eastAsia="zh-CN"/>
        </w:rPr>
        <w:t>奖励10万元。荣获安徽省卓越绩效奖的单位</w:t>
      </w:r>
      <w:r>
        <w:rPr>
          <w:rFonts w:hint="eastAsia" w:ascii="仿宋" w:hAnsi="仿宋" w:eastAsia="仿宋" w:cs="仿宋"/>
          <w:b w:val="0"/>
          <w:i w:val="0"/>
          <w:snapToGrid/>
          <w:color w:val="000000"/>
          <w:spacing w:val="-4"/>
          <w:sz w:val="32"/>
          <w:shd w:val="clear" w:color="auto" w:fill="FFFFFF"/>
          <w:lang w:val="en-US" w:eastAsia="zh-CN"/>
        </w:rPr>
        <w:t>一次性</w:t>
      </w:r>
      <w:r>
        <w:rPr>
          <w:rFonts w:hint="default" w:ascii="仿宋" w:hAnsi="仿宋" w:eastAsia="仿宋" w:cs="仿宋"/>
          <w:b w:val="0"/>
          <w:i w:val="0"/>
          <w:snapToGrid/>
          <w:color w:val="000000"/>
          <w:spacing w:val="-4"/>
          <w:sz w:val="32"/>
          <w:shd w:val="clear" w:color="auto" w:fill="FFFFFF"/>
          <w:lang w:val="en-US" w:eastAsia="zh-CN"/>
        </w:rPr>
        <w:t>奖励5万元。</w:t>
      </w:r>
      <w:r>
        <w:rPr>
          <w:rFonts w:hint="eastAsia" w:ascii="仿宋" w:hAnsi="仿宋" w:eastAsia="仿宋" w:cs="仿宋"/>
          <w:b w:val="0"/>
          <w:i w:val="0"/>
          <w:snapToGrid/>
          <w:color w:val="000000"/>
          <w:spacing w:val="-4"/>
          <w:sz w:val="32"/>
          <w:shd w:val="clear" w:color="auto" w:fill="FFFFFF"/>
          <w:lang w:val="en-US" w:eastAsia="zh-CN"/>
        </w:rPr>
        <w:t>（责任单位：</w:t>
      </w:r>
      <w:r>
        <w:rPr>
          <w:rFonts w:hint="default" w:ascii="仿宋" w:hAnsi="仿宋" w:eastAsia="仿宋" w:cs="仿宋"/>
          <w:b w:val="0"/>
          <w:i w:val="0"/>
          <w:snapToGrid/>
          <w:color w:val="000000"/>
          <w:spacing w:val="-4"/>
          <w:sz w:val="32"/>
          <w:shd w:val="clear" w:color="auto" w:fill="FFFFFF"/>
          <w:lang w:val="en-US" w:eastAsia="zh-CN"/>
        </w:rPr>
        <w:t>市经信局、</w:t>
      </w:r>
      <w:r>
        <w:rPr>
          <w:rFonts w:hint="eastAsia" w:ascii="仿宋" w:hAnsi="仿宋" w:eastAsia="仿宋" w:cs="仿宋"/>
          <w:b w:val="0"/>
          <w:i w:val="0"/>
          <w:snapToGrid/>
          <w:color w:val="000000"/>
          <w:spacing w:val="-4"/>
          <w:sz w:val="32"/>
          <w:shd w:val="clear" w:color="auto" w:fill="FFFFFF"/>
          <w:lang w:val="en-US" w:eastAsia="zh-CN"/>
        </w:rPr>
        <w:t>市发改委、</w:t>
      </w:r>
      <w:r>
        <w:rPr>
          <w:rFonts w:hint="default" w:ascii="仿宋" w:hAnsi="仿宋" w:eastAsia="仿宋" w:cs="仿宋"/>
          <w:b w:val="0"/>
          <w:i w:val="0"/>
          <w:snapToGrid/>
          <w:color w:val="000000"/>
          <w:spacing w:val="-4"/>
          <w:sz w:val="32"/>
          <w:shd w:val="clear" w:color="auto" w:fill="FFFFFF"/>
          <w:lang w:val="en-US" w:eastAsia="zh-CN"/>
        </w:rPr>
        <w:t>市科技局、市人社市财政局、市市场监管局，各县区（园区）按职责分工）</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 w:cs="Times New Roman"/>
          <w:b/>
          <w:bCs/>
          <w:color w:val="000000"/>
          <w:sz w:val="32"/>
          <w:szCs w:val="32"/>
          <w:u w:val="none"/>
          <w:lang w:val="en-US" w:eastAsia="zh-CN"/>
        </w:rPr>
      </w:pPr>
      <w:r>
        <w:rPr>
          <w:rFonts w:hint="default" w:ascii="Times New Roman" w:hAnsi="Times New Roman" w:eastAsia="仿宋" w:cs="Times New Roman"/>
          <w:b/>
          <w:bCs/>
          <w:color w:val="000000"/>
          <w:sz w:val="32"/>
          <w:szCs w:val="32"/>
          <w:u w:val="none"/>
          <w:lang w:val="en-US" w:eastAsia="zh-CN"/>
        </w:rPr>
        <w:t>实施数字赋能，</w:t>
      </w:r>
      <w:r>
        <w:rPr>
          <w:rFonts w:hint="eastAsia" w:ascii="Times New Roman" w:hAnsi="Times New Roman" w:eastAsia="仿宋" w:cs="Times New Roman"/>
          <w:b/>
          <w:bCs/>
          <w:color w:val="000000"/>
          <w:sz w:val="32"/>
          <w:szCs w:val="32"/>
          <w:u w:val="none"/>
          <w:lang w:val="en-US" w:eastAsia="zh-CN"/>
        </w:rPr>
        <w:t>推动企业技术改造</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24" w:firstLineChars="0"/>
        <w:jc w:val="both"/>
        <w:textAlignment w:val="auto"/>
        <w:outlineLvl w:val="9"/>
        <w:rPr>
          <w:rFonts w:hint="default" w:ascii="仿宋" w:hAnsi="仿宋" w:eastAsia="仿宋" w:cs="仿宋"/>
          <w:b w:val="0"/>
          <w:i w:val="0"/>
          <w:snapToGrid/>
          <w:color w:val="000000"/>
          <w:spacing w:val="-4"/>
          <w:sz w:val="32"/>
          <w:shd w:val="clear" w:color="auto" w:fill="FFFFFF"/>
          <w:lang w:val="en-US" w:eastAsia="zh-CN"/>
        </w:rPr>
      </w:pPr>
      <w:r>
        <w:rPr>
          <w:rFonts w:hint="default" w:ascii="仿宋" w:hAnsi="仿宋" w:eastAsia="仿宋" w:cs="仿宋"/>
          <w:b w:val="0"/>
          <w:i w:val="0"/>
          <w:snapToGrid/>
          <w:color w:val="000000"/>
          <w:spacing w:val="-4"/>
          <w:sz w:val="32"/>
          <w:shd w:val="clear" w:color="auto" w:fill="FFFFFF"/>
          <w:lang w:val="en-US" w:eastAsia="zh-CN"/>
        </w:rPr>
        <w:t>支持专精特新“小巨人”等细分行业头部企业建立行业工业互联网平台，打通原料供给、设计开发、生产营销、售后维护等环节，建立产供销一体化运营新模式</w:t>
      </w:r>
      <w:r>
        <w:rPr>
          <w:rFonts w:hint="eastAsia" w:ascii="仿宋" w:hAnsi="仿宋" w:eastAsia="仿宋" w:cs="仿宋"/>
          <w:b w:val="0"/>
          <w:i w:val="0"/>
          <w:snapToGrid/>
          <w:color w:val="000000"/>
          <w:spacing w:val="-4"/>
          <w:sz w:val="32"/>
          <w:shd w:val="clear" w:color="auto" w:fill="FFFFFF"/>
          <w:lang w:val="en-US" w:eastAsia="zh-CN"/>
        </w:rPr>
        <w:t>，</w:t>
      </w:r>
      <w:r>
        <w:rPr>
          <w:rFonts w:hint="default" w:ascii="仿宋" w:hAnsi="仿宋" w:eastAsia="仿宋" w:cs="仿宋"/>
          <w:b w:val="0"/>
          <w:i w:val="0"/>
          <w:snapToGrid/>
          <w:color w:val="000000"/>
          <w:spacing w:val="-4"/>
          <w:sz w:val="32"/>
          <w:shd w:val="clear" w:color="auto" w:fill="FFFFFF"/>
          <w:lang w:val="en-US" w:eastAsia="zh-CN"/>
        </w:rPr>
        <w:t>对企业级工业互联网平台给予一次性奖</w:t>
      </w:r>
      <w:r>
        <w:rPr>
          <w:rFonts w:hint="eastAsia" w:ascii="仿宋" w:hAnsi="仿宋" w:eastAsia="仿宋" w:cs="仿宋"/>
          <w:b w:val="0"/>
          <w:i w:val="0"/>
          <w:snapToGrid/>
          <w:color w:val="000000"/>
          <w:spacing w:val="-4"/>
          <w:sz w:val="32"/>
          <w:shd w:val="clear" w:color="auto" w:fill="FFFFFF"/>
          <w:lang w:val="en-US" w:eastAsia="zh-CN"/>
        </w:rPr>
        <w:t>励3</w:t>
      </w:r>
      <w:r>
        <w:rPr>
          <w:rFonts w:hint="default" w:ascii="仿宋" w:hAnsi="仿宋" w:eastAsia="仿宋" w:cs="仿宋"/>
          <w:b w:val="0"/>
          <w:i w:val="0"/>
          <w:snapToGrid/>
          <w:color w:val="000000"/>
          <w:spacing w:val="-4"/>
          <w:sz w:val="32"/>
          <w:shd w:val="clear" w:color="auto" w:fill="FFFFFF"/>
          <w:lang w:val="en-US" w:eastAsia="zh-CN"/>
        </w:rPr>
        <w:t>0万元。推动专精特新企业内外网改造升级，对于投入不低于50万元的内网改造项目给予设备及软件投入20%的一次性奖</w:t>
      </w:r>
      <w:r>
        <w:rPr>
          <w:rFonts w:hint="eastAsia" w:ascii="仿宋" w:hAnsi="仿宋" w:eastAsia="仿宋" w:cs="仿宋"/>
          <w:b w:val="0"/>
          <w:i w:val="0"/>
          <w:snapToGrid/>
          <w:color w:val="000000"/>
          <w:spacing w:val="-4"/>
          <w:sz w:val="32"/>
          <w:shd w:val="clear" w:color="auto" w:fill="FFFFFF"/>
          <w:lang w:val="en-US" w:eastAsia="zh-CN"/>
        </w:rPr>
        <w:t>励</w:t>
      </w:r>
      <w:r>
        <w:rPr>
          <w:rFonts w:hint="default" w:ascii="仿宋" w:hAnsi="仿宋" w:eastAsia="仿宋" w:cs="仿宋"/>
          <w:b w:val="0"/>
          <w:i w:val="0"/>
          <w:snapToGrid/>
          <w:color w:val="000000"/>
          <w:spacing w:val="-4"/>
          <w:sz w:val="32"/>
          <w:shd w:val="clear" w:color="auto" w:fill="FFFFFF"/>
          <w:lang w:val="en-US" w:eastAsia="zh-CN"/>
        </w:rPr>
        <w:t>，最高不超过50万元。对通过国家信息化和工业化融合管理体系标准评定企业，给予一次性奖</w:t>
      </w:r>
      <w:r>
        <w:rPr>
          <w:rFonts w:hint="eastAsia" w:ascii="仿宋" w:hAnsi="仿宋" w:eastAsia="仿宋" w:cs="仿宋"/>
          <w:b w:val="0"/>
          <w:i w:val="0"/>
          <w:snapToGrid/>
          <w:color w:val="000000"/>
          <w:spacing w:val="-4"/>
          <w:sz w:val="32"/>
          <w:shd w:val="clear" w:color="auto" w:fill="FFFFFF"/>
          <w:lang w:val="en-US" w:eastAsia="zh-CN"/>
        </w:rPr>
        <w:t>励</w:t>
      </w:r>
      <w:r>
        <w:rPr>
          <w:rFonts w:hint="default" w:ascii="仿宋" w:hAnsi="仿宋" w:eastAsia="仿宋" w:cs="仿宋"/>
          <w:b w:val="0"/>
          <w:i w:val="0"/>
          <w:snapToGrid/>
          <w:color w:val="000000"/>
          <w:spacing w:val="-4"/>
          <w:sz w:val="32"/>
          <w:shd w:val="clear" w:color="auto" w:fill="FFFFFF"/>
          <w:lang w:val="en-US" w:eastAsia="zh-CN"/>
        </w:rPr>
        <w:t>20万元。对获批国家级省级“5G</w:t>
      </w:r>
      <w:r>
        <w:rPr>
          <w:rFonts w:hint="default" w:ascii="仿宋" w:hAnsi="仿宋" w:eastAsia="仿宋" w:cs="仿宋"/>
          <w:b w:val="0"/>
          <w:i w:val="0"/>
          <w:snapToGrid/>
          <w:color w:val="000000"/>
          <w:spacing w:val="-4"/>
          <w:sz w:val="32"/>
          <w:shd w:val="clear" w:color="auto" w:fill="FFFFFF"/>
          <w:lang w:val="en" w:eastAsia="zh-CN"/>
        </w:rPr>
        <w:t>+工业互联网</w:t>
      </w:r>
      <w:r>
        <w:rPr>
          <w:rFonts w:hint="default" w:ascii="仿宋" w:hAnsi="仿宋" w:eastAsia="仿宋" w:cs="仿宋"/>
          <w:b w:val="0"/>
          <w:i w:val="0"/>
          <w:snapToGrid/>
          <w:color w:val="000000"/>
          <w:spacing w:val="-4"/>
          <w:sz w:val="32"/>
          <w:shd w:val="clear" w:color="auto" w:fill="FFFFFF"/>
          <w:lang w:val="en-US" w:eastAsia="zh-CN"/>
        </w:rPr>
        <w:t>”试点示范、典型应用、优秀案例及解决方案等企业按照与省政策不重复享受原则，分别给予不超过50万元、20万元的一次性奖</w:t>
      </w:r>
      <w:r>
        <w:rPr>
          <w:rFonts w:hint="eastAsia" w:ascii="仿宋" w:hAnsi="仿宋" w:eastAsia="仿宋" w:cs="仿宋"/>
          <w:b w:val="0"/>
          <w:i w:val="0"/>
          <w:snapToGrid/>
          <w:color w:val="000000"/>
          <w:spacing w:val="-4"/>
          <w:sz w:val="32"/>
          <w:shd w:val="clear" w:color="auto" w:fill="FFFFFF"/>
          <w:lang w:val="en-US" w:eastAsia="zh-CN"/>
        </w:rPr>
        <w:t>励。</w:t>
      </w:r>
      <w:r>
        <w:rPr>
          <w:rFonts w:hint="default" w:ascii="仿宋" w:hAnsi="仿宋" w:eastAsia="仿宋" w:cs="仿宋"/>
          <w:b w:val="0"/>
          <w:i w:val="0"/>
          <w:snapToGrid/>
          <w:color w:val="000000"/>
          <w:spacing w:val="-4"/>
          <w:sz w:val="32"/>
          <w:shd w:val="clear" w:color="auto" w:fill="FFFFFF"/>
          <w:lang w:val="en-US" w:eastAsia="zh-CN"/>
        </w:rPr>
        <w:t>推动专精特新企业数字化、网络化、智能化、绿色化“四化”改造全覆盖，对</w:t>
      </w:r>
      <w:r>
        <w:rPr>
          <w:rFonts w:hint="eastAsia" w:ascii="仿宋" w:hAnsi="仿宋" w:eastAsia="仿宋" w:cs="仿宋"/>
          <w:b w:val="0"/>
          <w:i w:val="0"/>
          <w:snapToGrid/>
          <w:color w:val="000000"/>
          <w:spacing w:val="-4"/>
          <w:sz w:val="32"/>
          <w:shd w:val="clear" w:color="auto" w:fill="FFFFFF"/>
          <w:lang w:val="en-US" w:eastAsia="zh-CN"/>
        </w:rPr>
        <w:t>规上工业</w:t>
      </w:r>
      <w:r>
        <w:rPr>
          <w:rFonts w:hint="default" w:ascii="仿宋" w:hAnsi="仿宋" w:eastAsia="仿宋" w:cs="仿宋"/>
          <w:b w:val="0"/>
          <w:i w:val="0"/>
          <w:snapToGrid/>
          <w:color w:val="000000"/>
          <w:spacing w:val="-4"/>
          <w:sz w:val="32"/>
          <w:shd w:val="clear" w:color="auto" w:fill="FFFFFF"/>
          <w:lang w:val="en-US" w:eastAsia="zh-CN"/>
        </w:rPr>
        <w:t>企业实施总投资1000万元以上的技术改造项目，符合《工业“四基”发展目录》的，按照项目购置额的15%给予奖补，单个项目不超过150万元；符合市产业发展路径、六大新兴产业发展方向之一，列入《淮南市工业转型省级项目投资导向计划》，按照项目设备购置额的10%给予奖补，单个项目不超过100万元。</w:t>
      </w:r>
      <w:r>
        <w:rPr>
          <w:rFonts w:hint="eastAsia" w:ascii="仿宋" w:hAnsi="仿宋" w:eastAsia="仿宋" w:cs="仿宋"/>
          <w:b w:val="0"/>
          <w:i w:val="0"/>
          <w:snapToGrid/>
          <w:color w:val="000000"/>
          <w:spacing w:val="-4"/>
          <w:sz w:val="32"/>
          <w:shd w:val="clear" w:color="auto" w:fill="FFFFFF"/>
          <w:lang w:val="en-US" w:eastAsia="zh-CN"/>
        </w:rPr>
        <w:t>对新认定为省级智能工厂、数字化车间的企业，且未获得省级奖补的，分别给予一次性奖励20万元、10万元。</w:t>
      </w:r>
      <w:r>
        <w:rPr>
          <w:rFonts w:hint="default" w:ascii="仿宋" w:hAnsi="仿宋" w:eastAsia="仿宋" w:cs="仿宋"/>
          <w:b w:val="0"/>
          <w:i w:val="0"/>
          <w:snapToGrid/>
          <w:color w:val="000000"/>
          <w:spacing w:val="-4"/>
          <w:sz w:val="32"/>
          <w:shd w:val="clear" w:color="auto" w:fill="FFFFFF"/>
          <w:lang w:val="en-US" w:eastAsia="zh-CN"/>
        </w:rPr>
        <w:t>对新认定的国家级绿色工厂，且未获得国家级和省级奖补的，给予一次性奖</w:t>
      </w:r>
      <w:r>
        <w:rPr>
          <w:rFonts w:hint="eastAsia" w:ascii="仿宋" w:hAnsi="仿宋" w:eastAsia="仿宋" w:cs="仿宋"/>
          <w:b w:val="0"/>
          <w:i w:val="0"/>
          <w:snapToGrid/>
          <w:color w:val="000000"/>
          <w:spacing w:val="-4"/>
          <w:sz w:val="32"/>
          <w:shd w:val="clear" w:color="auto" w:fill="FFFFFF"/>
          <w:lang w:val="en-US" w:eastAsia="zh-CN"/>
        </w:rPr>
        <w:t>励</w:t>
      </w:r>
      <w:r>
        <w:rPr>
          <w:rFonts w:hint="default" w:ascii="仿宋" w:hAnsi="仿宋" w:eastAsia="仿宋" w:cs="仿宋"/>
          <w:b w:val="0"/>
          <w:i w:val="0"/>
          <w:snapToGrid/>
          <w:color w:val="000000"/>
          <w:spacing w:val="-4"/>
          <w:sz w:val="32"/>
          <w:shd w:val="clear" w:color="auto" w:fill="FFFFFF"/>
          <w:lang w:val="en-US" w:eastAsia="zh-CN"/>
        </w:rPr>
        <w:t>30万元。对新认定的省级绿色工厂，且未获得省级奖补的，给予一次性奖</w:t>
      </w:r>
      <w:r>
        <w:rPr>
          <w:rFonts w:hint="eastAsia" w:ascii="仿宋" w:hAnsi="仿宋" w:eastAsia="仿宋" w:cs="仿宋"/>
          <w:b w:val="0"/>
          <w:i w:val="0"/>
          <w:snapToGrid/>
          <w:color w:val="000000"/>
          <w:spacing w:val="-4"/>
          <w:sz w:val="32"/>
          <w:shd w:val="clear" w:color="auto" w:fill="FFFFFF"/>
          <w:lang w:val="en-US" w:eastAsia="zh-CN"/>
        </w:rPr>
        <w:t>励</w:t>
      </w:r>
      <w:r>
        <w:rPr>
          <w:rFonts w:hint="default" w:ascii="仿宋" w:hAnsi="仿宋" w:eastAsia="仿宋" w:cs="仿宋"/>
          <w:b w:val="0"/>
          <w:i w:val="0"/>
          <w:snapToGrid/>
          <w:color w:val="000000"/>
          <w:spacing w:val="-4"/>
          <w:sz w:val="32"/>
          <w:shd w:val="clear" w:color="auto" w:fill="FFFFFF"/>
          <w:lang w:val="en-US" w:eastAsia="zh-CN"/>
        </w:rPr>
        <w:t>10万元。对企业实施重点改造项目，并进入《全省工业领域节能环保产业“五个一百”推介目录》，且未获得省级奖补的，给予一次性奖</w:t>
      </w:r>
      <w:r>
        <w:rPr>
          <w:rFonts w:hint="eastAsia" w:ascii="仿宋" w:hAnsi="仿宋" w:eastAsia="仿宋" w:cs="仿宋"/>
          <w:b w:val="0"/>
          <w:i w:val="0"/>
          <w:snapToGrid/>
          <w:color w:val="000000"/>
          <w:spacing w:val="-4"/>
          <w:sz w:val="32"/>
          <w:shd w:val="clear" w:color="auto" w:fill="FFFFFF"/>
          <w:lang w:val="en-US" w:eastAsia="zh-CN"/>
        </w:rPr>
        <w:t>励</w:t>
      </w:r>
      <w:r>
        <w:rPr>
          <w:rFonts w:hint="default" w:ascii="仿宋" w:hAnsi="仿宋" w:eastAsia="仿宋" w:cs="仿宋"/>
          <w:b w:val="0"/>
          <w:i w:val="0"/>
          <w:snapToGrid/>
          <w:color w:val="000000"/>
          <w:spacing w:val="-4"/>
          <w:sz w:val="32"/>
          <w:shd w:val="clear" w:color="auto" w:fill="FFFFFF"/>
          <w:lang w:val="en-US" w:eastAsia="zh-CN"/>
        </w:rPr>
        <w:t>10万元。（</w:t>
      </w:r>
      <w:r>
        <w:rPr>
          <w:rFonts w:hint="eastAsia" w:ascii="仿宋" w:hAnsi="仿宋" w:eastAsia="仿宋" w:cs="仿宋"/>
          <w:b w:val="0"/>
          <w:i w:val="0"/>
          <w:snapToGrid/>
          <w:color w:val="000000"/>
          <w:spacing w:val="-4"/>
          <w:sz w:val="32"/>
          <w:shd w:val="clear" w:color="auto" w:fill="FFFFFF"/>
          <w:lang w:val="en-US" w:eastAsia="zh-CN"/>
        </w:rPr>
        <w:t>责任单位：</w:t>
      </w:r>
      <w:r>
        <w:rPr>
          <w:rFonts w:hint="default" w:ascii="仿宋" w:hAnsi="仿宋" w:eastAsia="仿宋" w:cs="仿宋"/>
          <w:b w:val="0"/>
          <w:i w:val="0"/>
          <w:snapToGrid/>
          <w:color w:val="000000"/>
          <w:spacing w:val="-4"/>
          <w:sz w:val="32"/>
          <w:shd w:val="clear" w:color="auto" w:fill="FFFFFF"/>
          <w:lang w:val="en-US" w:eastAsia="zh-CN"/>
        </w:rPr>
        <w:t>市经信局、</w:t>
      </w:r>
      <w:r>
        <w:rPr>
          <w:rFonts w:hint="eastAsia" w:ascii="仿宋" w:hAnsi="仿宋" w:eastAsia="仿宋" w:cs="仿宋"/>
          <w:b w:val="0"/>
          <w:i w:val="0"/>
          <w:snapToGrid/>
          <w:color w:val="000000"/>
          <w:spacing w:val="-4"/>
          <w:sz w:val="32"/>
          <w:shd w:val="clear" w:color="auto" w:fill="FFFFFF"/>
          <w:lang w:val="en-US" w:eastAsia="zh-CN"/>
        </w:rPr>
        <w:t>市发改委、市科技局、</w:t>
      </w:r>
      <w:r>
        <w:rPr>
          <w:rFonts w:hint="default" w:ascii="仿宋" w:hAnsi="仿宋" w:eastAsia="仿宋" w:cs="仿宋"/>
          <w:b w:val="0"/>
          <w:i w:val="0"/>
          <w:snapToGrid/>
          <w:color w:val="000000"/>
          <w:spacing w:val="-4"/>
          <w:sz w:val="32"/>
          <w:shd w:val="clear" w:color="auto" w:fill="FFFFFF"/>
          <w:lang w:val="en-US" w:eastAsia="zh-CN"/>
        </w:rPr>
        <w:t>市财政局、市自然资源和规划局，各县区（园区）按职责分工）</w:t>
      </w:r>
    </w:p>
    <w:p>
      <w:pPr>
        <w:pStyle w:val="2"/>
        <w:keepNext w:val="0"/>
        <w:keepLines w:val="0"/>
        <w:pageBreakBefore w:val="0"/>
        <w:numPr>
          <w:ilvl w:val="0"/>
          <w:numId w:val="2"/>
        </w:numPr>
        <w:kinsoku/>
        <w:wordWrap/>
        <w:overflowPunct/>
        <w:topLinePunct w:val="0"/>
        <w:autoSpaceDE/>
        <w:bidi w:val="0"/>
        <w:adjustRightInd/>
        <w:snapToGrid/>
        <w:spacing w:line="240" w:lineRule="auto"/>
        <w:ind w:left="480" w:leftChars="0" w:firstLine="0" w:firstLineChars="0"/>
        <w:textAlignment w:val="auto"/>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实施招商赋能，持续优化营商环境</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24" w:firstLineChars="0"/>
        <w:jc w:val="both"/>
        <w:textAlignment w:val="auto"/>
        <w:outlineLvl w:val="9"/>
        <w:rPr>
          <w:rFonts w:hint="default" w:ascii="仿宋" w:hAnsi="仿宋" w:eastAsia="仿宋" w:cs="仿宋"/>
          <w:b w:val="0"/>
          <w:i w:val="0"/>
          <w:snapToGrid/>
          <w:color w:val="000000"/>
          <w:spacing w:val="-4"/>
          <w:sz w:val="32"/>
          <w:shd w:val="clear" w:color="auto" w:fill="FFFFFF"/>
          <w:lang w:val="en-US" w:eastAsia="zh-CN"/>
        </w:rPr>
      </w:pPr>
      <w:r>
        <w:rPr>
          <w:rFonts w:hint="eastAsia" w:ascii="仿宋" w:hAnsi="仿宋" w:eastAsia="仿宋" w:cs="仿宋"/>
          <w:b w:val="0"/>
          <w:i w:val="0"/>
          <w:snapToGrid/>
          <w:color w:val="000000"/>
          <w:spacing w:val="-4"/>
          <w:sz w:val="32"/>
          <w:shd w:val="clear" w:color="auto" w:fill="FFFFFF"/>
          <w:lang w:val="en-US" w:eastAsia="zh-CN"/>
        </w:rPr>
        <w:t>依托全市新建和盘活的标准化厂房资源，大力招引高新技术工业企业、战略性新兴产业企业、专精特新企业，对高新技术工业企业、战略性新兴产业企业、专精特新企业当年入驻当年升规的，按市招商引资政策给予现金补贴、搬迁资金支持和一次性奖励。持续推动落实减税降费优惠政策，清理拖欠企业账款，减轻企业负担。形成工作合力，深入开展入企服务活动，强化对停产半停产企业帮扶力度，开展市级队、县级队企业走访帮扶，协调解决规上培育企业、高新技术工业企业、战略性新兴产业企业、专精特新企业在用地、用能、产权、金融、人才等方面的需求问题。</w:t>
      </w:r>
      <w:r>
        <w:rPr>
          <w:rFonts w:hint="default" w:ascii="仿宋" w:hAnsi="仿宋" w:eastAsia="仿宋" w:cs="仿宋"/>
          <w:b w:val="0"/>
          <w:i w:val="0"/>
          <w:snapToGrid/>
          <w:color w:val="000000"/>
          <w:spacing w:val="-4"/>
          <w:sz w:val="32"/>
          <w:shd w:val="clear" w:color="auto" w:fill="FFFFFF"/>
          <w:lang w:val="en-US" w:eastAsia="zh-CN"/>
        </w:rPr>
        <w:t>鼓励企业引进国内外工程师和专业技术人员等急需紧缺人才，按照相关规定给予一定资助。建立企业用工需求台账，通过政府购买服务（委托第三方招聘）、人社部门定期组织线下跨区域招聘、教育部门牵头组织校企合作（订单式培养）等方式，“一企一策”逐一解决，帮助企业招人留人。落实国家支持企业稳岗就业政策，鼓励企业与高校</w:t>
      </w:r>
      <w:r>
        <w:rPr>
          <w:rFonts w:hint="eastAsia" w:ascii="仿宋" w:hAnsi="仿宋" w:eastAsia="仿宋" w:cs="仿宋"/>
          <w:b w:val="0"/>
          <w:i w:val="0"/>
          <w:snapToGrid/>
          <w:color w:val="000000"/>
          <w:spacing w:val="-4"/>
          <w:sz w:val="32"/>
          <w:shd w:val="clear" w:color="auto" w:fill="FFFFFF"/>
          <w:lang w:val="en-US" w:eastAsia="zh-CN"/>
        </w:rPr>
        <w:t>、职业院校</w:t>
      </w:r>
      <w:r>
        <w:rPr>
          <w:rFonts w:hint="default" w:ascii="仿宋" w:hAnsi="仿宋" w:eastAsia="仿宋" w:cs="仿宋"/>
          <w:b w:val="0"/>
          <w:i w:val="0"/>
          <w:snapToGrid/>
          <w:color w:val="000000"/>
          <w:spacing w:val="-4"/>
          <w:sz w:val="32"/>
          <w:shd w:val="clear" w:color="auto" w:fill="FFFFFF"/>
          <w:lang w:val="en-US" w:eastAsia="zh-CN"/>
        </w:rPr>
        <w:t>签订紧缺工种技能人才定向培养协议，</w:t>
      </w:r>
      <w:r>
        <w:rPr>
          <w:rFonts w:hint="eastAsia" w:ascii="仿宋" w:hAnsi="仿宋" w:eastAsia="仿宋" w:cs="仿宋"/>
          <w:b w:val="0"/>
          <w:i w:val="0"/>
          <w:snapToGrid/>
          <w:color w:val="000000"/>
          <w:spacing w:val="-4"/>
          <w:sz w:val="32"/>
          <w:shd w:val="clear" w:color="auto" w:fill="FFFFFF"/>
          <w:lang w:val="en-US" w:eastAsia="zh-CN"/>
        </w:rPr>
        <w:t>并</w:t>
      </w:r>
      <w:r>
        <w:rPr>
          <w:rFonts w:hint="default" w:ascii="仿宋" w:hAnsi="仿宋" w:eastAsia="仿宋" w:cs="仿宋"/>
          <w:b w:val="0"/>
          <w:i w:val="0"/>
          <w:snapToGrid/>
          <w:color w:val="000000"/>
          <w:spacing w:val="-4"/>
          <w:sz w:val="32"/>
          <w:shd w:val="clear" w:color="auto" w:fill="FFFFFF"/>
          <w:lang w:val="en-US" w:eastAsia="zh-CN"/>
        </w:rPr>
        <w:t>按月向</w:t>
      </w:r>
      <w:r>
        <w:rPr>
          <w:rFonts w:hint="eastAsia" w:ascii="仿宋" w:hAnsi="仿宋" w:eastAsia="仿宋" w:cs="仿宋"/>
          <w:b w:val="0"/>
          <w:i w:val="0"/>
          <w:snapToGrid/>
          <w:color w:val="000000"/>
          <w:spacing w:val="-4"/>
          <w:sz w:val="32"/>
          <w:shd w:val="clear" w:color="auto" w:fill="FFFFFF"/>
          <w:lang w:val="en-US" w:eastAsia="zh-CN"/>
        </w:rPr>
        <w:t>制造业企业提质扩量增效</w:t>
      </w:r>
      <w:r>
        <w:rPr>
          <w:rFonts w:hint="default" w:ascii="仿宋" w:hAnsi="仿宋" w:eastAsia="仿宋" w:cs="仿宋"/>
          <w:b w:val="0"/>
          <w:i w:val="0"/>
          <w:snapToGrid/>
          <w:color w:val="000000"/>
          <w:spacing w:val="-4"/>
          <w:sz w:val="32"/>
          <w:shd w:val="clear" w:color="auto" w:fill="FFFFFF"/>
          <w:lang w:val="en-US" w:eastAsia="zh-CN"/>
        </w:rPr>
        <w:t>定向培养生发放在校学习补助，由企业所在县区政府给予对应补助。助力企业开拓市场</w:t>
      </w:r>
      <w:r>
        <w:rPr>
          <w:rFonts w:hint="eastAsia" w:ascii="仿宋" w:hAnsi="仿宋" w:eastAsia="仿宋" w:cs="仿宋"/>
          <w:b w:val="0"/>
          <w:i w:val="0"/>
          <w:snapToGrid/>
          <w:color w:val="000000"/>
          <w:spacing w:val="-4"/>
          <w:sz w:val="32"/>
          <w:shd w:val="clear" w:color="auto" w:fill="FFFFFF"/>
          <w:lang w:val="en-US" w:eastAsia="zh-CN"/>
        </w:rPr>
        <w:t>，</w:t>
      </w:r>
      <w:r>
        <w:rPr>
          <w:rFonts w:hint="default" w:ascii="仿宋" w:hAnsi="仿宋" w:eastAsia="仿宋" w:cs="仿宋"/>
          <w:b w:val="0"/>
          <w:i w:val="0"/>
          <w:snapToGrid/>
          <w:color w:val="000000"/>
          <w:spacing w:val="-4"/>
          <w:sz w:val="32"/>
          <w:shd w:val="clear" w:color="auto" w:fill="FFFFFF"/>
          <w:lang w:val="en-US" w:eastAsia="zh-CN"/>
        </w:rPr>
        <w:t>实施增品种、提品质、创品牌“三品”战略和工业精品培育行动计划，对新认定的安徽工业精品、省级新产品，且未获得省级奖补的，分别给予一次性奖</w:t>
      </w:r>
      <w:r>
        <w:rPr>
          <w:rFonts w:hint="eastAsia" w:ascii="仿宋" w:hAnsi="仿宋" w:eastAsia="仿宋" w:cs="仿宋"/>
          <w:b w:val="0"/>
          <w:i w:val="0"/>
          <w:snapToGrid/>
          <w:color w:val="000000"/>
          <w:spacing w:val="-4"/>
          <w:sz w:val="32"/>
          <w:shd w:val="clear" w:color="auto" w:fill="FFFFFF"/>
          <w:lang w:val="en-US" w:eastAsia="zh-CN"/>
        </w:rPr>
        <w:t>励</w:t>
      </w:r>
      <w:r>
        <w:rPr>
          <w:rFonts w:hint="default" w:ascii="仿宋" w:hAnsi="仿宋" w:eastAsia="仿宋" w:cs="仿宋"/>
          <w:b w:val="0"/>
          <w:i w:val="0"/>
          <w:snapToGrid/>
          <w:color w:val="000000"/>
          <w:spacing w:val="-4"/>
          <w:sz w:val="32"/>
          <w:shd w:val="clear" w:color="auto" w:fill="FFFFFF"/>
          <w:lang w:val="en-US" w:eastAsia="zh-CN"/>
        </w:rPr>
        <w:t>10万元、5万元。落实“三首一保”政策，加大首台套、首批次、首版次示范应用和政府采购力度，列入《安徽省三首产品推广应用指导目录》的产品投标时，招标单位不得提出市场占有率、使用业绩等要求，不得超出招标项目实际需要或套用特定产品设置评价标准、技术参数等。举办专精特新企业与龙头企业配套合作对接活动，构建“头部企业 中小企业”产业链生态圈。支持专精特新企业参加世界制造业大会等各类专业性展会，组织</w:t>
      </w:r>
      <w:r>
        <w:rPr>
          <w:rFonts w:hint="eastAsia" w:ascii="仿宋" w:hAnsi="仿宋" w:eastAsia="仿宋" w:cs="仿宋"/>
          <w:b w:val="0"/>
          <w:i w:val="0"/>
          <w:snapToGrid/>
          <w:color w:val="000000"/>
          <w:spacing w:val="-4"/>
          <w:sz w:val="32"/>
          <w:shd w:val="clear" w:color="auto" w:fill="FFFFFF"/>
          <w:lang w:val="en-US" w:eastAsia="zh-CN"/>
        </w:rPr>
        <w:t>参加</w:t>
      </w:r>
      <w:r>
        <w:rPr>
          <w:rFonts w:hint="default" w:ascii="仿宋" w:hAnsi="仿宋" w:eastAsia="仿宋" w:cs="仿宋"/>
          <w:b w:val="0"/>
          <w:i w:val="0"/>
          <w:snapToGrid/>
          <w:color w:val="000000"/>
          <w:spacing w:val="-4"/>
          <w:sz w:val="32"/>
          <w:shd w:val="clear" w:color="auto" w:fill="FFFFFF"/>
          <w:lang w:val="en-US" w:eastAsia="zh-CN"/>
        </w:rPr>
        <w:t>“皖美制造 畅行全球”展会活动，对省专精特新企业参加广交会等境内外展会给予倾斜支持。引导企业参加“精品安徽 皖美智造”央视宣传系列活动，对规模以上专精特新企业在中央媒体进行“精品安徽”集中宣传推介的，入选企业的宣传推广费在省级奖补的基础上，再按照30%给予一次性补助，最高不超过50万元。（</w:t>
      </w:r>
      <w:r>
        <w:rPr>
          <w:rFonts w:hint="eastAsia" w:ascii="仿宋" w:hAnsi="仿宋" w:eastAsia="仿宋" w:cs="仿宋"/>
          <w:b w:val="0"/>
          <w:i w:val="0"/>
          <w:snapToGrid/>
          <w:color w:val="000000"/>
          <w:spacing w:val="-4"/>
          <w:sz w:val="32"/>
          <w:shd w:val="clear" w:color="auto" w:fill="FFFFFF"/>
          <w:lang w:val="en-US" w:eastAsia="zh-CN"/>
        </w:rPr>
        <w:t>责任单位：</w:t>
      </w:r>
      <w:r>
        <w:rPr>
          <w:rFonts w:hint="default" w:ascii="仿宋" w:hAnsi="仿宋" w:eastAsia="仿宋" w:cs="仿宋"/>
          <w:b w:val="0"/>
          <w:i w:val="0"/>
          <w:snapToGrid/>
          <w:color w:val="000000"/>
          <w:spacing w:val="-4"/>
          <w:sz w:val="32"/>
          <w:shd w:val="clear" w:color="auto" w:fill="FFFFFF"/>
          <w:lang w:val="en-US" w:eastAsia="zh-CN"/>
        </w:rPr>
        <w:t>市经信局、</w:t>
      </w:r>
      <w:r>
        <w:rPr>
          <w:rFonts w:hint="eastAsia" w:ascii="仿宋" w:hAnsi="仿宋" w:eastAsia="仿宋" w:cs="仿宋"/>
          <w:b w:val="0"/>
          <w:i w:val="0"/>
          <w:snapToGrid/>
          <w:color w:val="000000"/>
          <w:spacing w:val="-4"/>
          <w:sz w:val="32"/>
          <w:shd w:val="clear" w:color="auto" w:fill="FFFFFF"/>
          <w:lang w:val="en-US" w:eastAsia="zh-CN"/>
        </w:rPr>
        <w:t>市发改委、市科技局、市人社局、</w:t>
      </w:r>
      <w:r>
        <w:rPr>
          <w:rFonts w:hint="default" w:ascii="仿宋" w:hAnsi="仿宋" w:eastAsia="仿宋" w:cs="仿宋"/>
          <w:b w:val="0"/>
          <w:i w:val="0"/>
          <w:snapToGrid/>
          <w:color w:val="000000"/>
          <w:spacing w:val="-4"/>
          <w:sz w:val="32"/>
          <w:shd w:val="clear" w:color="auto" w:fill="FFFFFF"/>
          <w:lang w:val="en-US" w:eastAsia="zh-CN"/>
        </w:rPr>
        <w:t>市财政局、市自然资源和规划局，各县区（园区）按职责分工）</w:t>
      </w:r>
    </w:p>
    <w:p>
      <w:pPr>
        <w:pStyle w:val="2"/>
        <w:keepNext w:val="0"/>
        <w:keepLines w:val="0"/>
        <w:pageBreakBefore w:val="0"/>
        <w:numPr>
          <w:ilvl w:val="0"/>
          <w:numId w:val="2"/>
        </w:numPr>
        <w:kinsoku/>
        <w:wordWrap/>
        <w:overflowPunct/>
        <w:topLinePunct w:val="0"/>
        <w:autoSpaceDE/>
        <w:bidi w:val="0"/>
        <w:adjustRightInd/>
        <w:snapToGrid/>
        <w:spacing w:line="240" w:lineRule="auto"/>
        <w:ind w:left="480" w:leftChars="0" w:firstLine="0" w:firstLineChars="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实施创业赋能，培育引进创业主体</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624" w:firstLineChars="0"/>
        <w:jc w:val="both"/>
        <w:textAlignment w:val="auto"/>
        <w:outlineLvl w:val="9"/>
        <w:rPr>
          <w:rFonts w:hint="default" w:ascii="仿宋" w:hAnsi="仿宋" w:eastAsia="仿宋" w:cs="仿宋"/>
          <w:b w:val="0"/>
          <w:i w:val="0"/>
          <w:snapToGrid/>
          <w:color w:val="000000"/>
          <w:spacing w:val="-4"/>
          <w:sz w:val="32"/>
          <w:shd w:val="clear" w:color="auto" w:fill="FFFFFF"/>
          <w:lang w:val="en-US" w:eastAsia="zh-CN"/>
        </w:rPr>
      </w:pPr>
      <w:r>
        <w:rPr>
          <w:rFonts w:hint="eastAsia" w:ascii="仿宋" w:hAnsi="仿宋" w:eastAsia="仿宋" w:cs="仿宋"/>
          <w:b w:val="0"/>
          <w:i w:val="0"/>
          <w:snapToGrid/>
          <w:color w:val="000000"/>
          <w:spacing w:val="-4"/>
          <w:sz w:val="32"/>
          <w:shd w:val="clear" w:color="auto" w:fill="FFFFFF"/>
          <w:lang w:val="en-US" w:eastAsia="zh-CN"/>
        </w:rPr>
        <w:t>大力开展“创业淮南”行动，发挥创客中国、创响中国、创新创业安徽赛区大赛及赢在江淮等创业创新平台作用，培育更多创新型企业，对获奖项目给予投融资方面支持，孵化一批专精特新企业。鼓励在产业集聚区、经济开发区、高新园区、工业园区、特色小镇等产业平台布局建设小微企业创业创新基地，培育建设一批基础设施完备、服务功能齐全、服务业绩突出、社会公信度高、示范带动作用强的小型微型企业创业创新示范基地。每年建设双创基地不少于5个，对首次获评省级双创基地的给予一次性奖励20万元。双创基地每培育一户规上工业企业，给予该双创基地5万元一次性奖励。大力招引高层次创业团队和高水平的初创企业，对引进国家级双创领军人才，3年内给予100万元生活补贴，一次性给予200万元启动资金支持。鼓励县区（园区）发挥社会中介机构力量，招引优秀创业团队，有条件县区（园区）可给予一次性奖补。</w:t>
      </w:r>
      <w:r>
        <w:rPr>
          <w:rFonts w:hint="default" w:ascii="仿宋" w:hAnsi="仿宋" w:eastAsia="仿宋" w:cs="仿宋"/>
          <w:b w:val="0"/>
          <w:i w:val="0"/>
          <w:snapToGrid/>
          <w:color w:val="000000"/>
          <w:spacing w:val="-4"/>
          <w:sz w:val="32"/>
          <w:shd w:val="clear" w:color="auto" w:fill="FFFFFF"/>
          <w:lang w:val="en-US" w:eastAsia="zh-CN"/>
        </w:rPr>
        <w:t>每月邀请一批企业负责人、高管，参加“企业家大讲堂”活动；鼓励企业参加新徽商培育工程、新生代接班、高管能力提升、创业新人赋能、专精特新经营管理领军人才订单式培训等各类培训。将符合条件的企业家纳入“徽商优才卡”服务对象。推荐优质企业参加省百</w:t>
      </w:r>
      <w:r>
        <w:rPr>
          <w:rFonts w:hint="eastAsia" w:ascii="仿宋" w:hAnsi="仿宋" w:eastAsia="仿宋" w:cs="仿宋"/>
          <w:b w:val="0"/>
          <w:i w:val="0"/>
          <w:snapToGrid/>
          <w:color w:val="000000"/>
          <w:spacing w:val="-4"/>
          <w:sz w:val="32"/>
          <w:shd w:val="clear" w:color="auto" w:fill="FFFFFF"/>
          <w:lang w:val="en-US" w:eastAsia="zh-CN"/>
        </w:rPr>
        <w:t>家</w:t>
      </w:r>
      <w:r>
        <w:rPr>
          <w:rFonts w:hint="default" w:ascii="仿宋" w:hAnsi="仿宋" w:eastAsia="仿宋" w:cs="仿宋"/>
          <w:b w:val="0"/>
          <w:i w:val="0"/>
          <w:snapToGrid/>
          <w:color w:val="000000"/>
          <w:spacing w:val="-4"/>
          <w:sz w:val="32"/>
          <w:shd w:val="clear" w:color="auto" w:fill="FFFFFF"/>
          <w:lang w:val="en-US" w:eastAsia="zh-CN"/>
        </w:rPr>
        <w:t>优秀民营企业和百名优秀民营企业家评选表彰，对获得“安徽省优秀民营企业”、“安徽省优秀民营企业家”称号的企业加强宣传报道。（</w:t>
      </w:r>
      <w:r>
        <w:rPr>
          <w:rFonts w:hint="eastAsia" w:ascii="仿宋" w:hAnsi="仿宋" w:eastAsia="仿宋" w:cs="仿宋"/>
          <w:b w:val="0"/>
          <w:i w:val="0"/>
          <w:snapToGrid/>
          <w:color w:val="000000"/>
          <w:spacing w:val="-4"/>
          <w:sz w:val="32"/>
          <w:shd w:val="clear" w:color="auto" w:fill="FFFFFF"/>
          <w:lang w:val="en-US" w:eastAsia="zh-CN"/>
        </w:rPr>
        <w:t>责任单位：</w:t>
      </w:r>
      <w:r>
        <w:rPr>
          <w:rFonts w:hint="default" w:ascii="仿宋" w:hAnsi="仿宋" w:eastAsia="仿宋" w:cs="仿宋"/>
          <w:b w:val="0"/>
          <w:i w:val="0"/>
          <w:snapToGrid/>
          <w:color w:val="000000"/>
          <w:spacing w:val="-4"/>
          <w:sz w:val="32"/>
          <w:shd w:val="clear" w:color="auto" w:fill="FFFFFF"/>
          <w:lang w:val="en-US" w:eastAsia="zh-CN"/>
        </w:rPr>
        <w:t>市</w:t>
      </w:r>
      <w:r>
        <w:rPr>
          <w:rFonts w:hint="eastAsia" w:ascii="仿宋" w:hAnsi="仿宋" w:eastAsia="仿宋" w:cs="仿宋"/>
          <w:b w:val="0"/>
          <w:i w:val="0"/>
          <w:snapToGrid/>
          <w:color w:val="000000"/>
          <w:spacing w:val="-4"/>
          <w:sz w:val="32"/>
          <w:shd w:val="clear" w:color="auto" w:fill="FFFFFF"/>
          <w:lang w:val="en-US" w:eastAsia="zh-CN"/>
        </w:rPr>
        <w:t>经信局、市</w:t>
      </w:r>
      <w:r>
        <w:rPr>
          <w:rFonts w:hint="default" w:ascii="仿宋" w:hAnsi="仿宋" w:eastAsia="仿宋" w:cs="仿宋"/>
          <w:b w:val="0"/>
          <w:i w:val="0"/>
          <w:snapToGrid/>
          <w:color w:val="000000"/>
          <w:spacing w:val="-4"/>
          <w:sz w:val="32"/>
          <w:shd w:val="clear" w:color="auto" w:fill="FFFFFF"/>
          <w:lang w:val="en-US" w:eastAsia="zh-CN"/>
        </w:rPr>
        <w:t>委组织部教育体育局</w:t>
      </w:r>
      <w:r>
        <w:rPr>
          <w:rFonts w:hint="eastAsia" w:ascii="仿宋" w:hAnsi="仿宋" w:eastAsia="仿宋" w:cs="仿宋"/>
          <w:b w:val="0"/>
          <w:i w:val="0"/>
          <w:snapToGrid/>
          <w:color w:val="000000"/>
          <w:spacing w:val="-4"/>
          <w:sz w:val="32"/>
          <w:shd w:val="clear" w:color="auto" w:fill="FFFFFF"/>
          <w:lang w:val="en-US" w:eastAsia="zh-CN"/>
        </w:rPr>
        <w:t>、</w:t>
      </w:r>
      <w:r>
        <w:rPr>
          <w:rFonts w:hint="default" w:ascii="仿宋" w:hAnsi="仿宋" w:eastAsia="仿宋" w:cs="仿宋"/>
          <w:b w:val="0"/>
          <w:i w:val="0"/>
          <w:snapToGrid/>
          <w:color w:val="000000"/>
          <w:spacing w:val="-4"/>
          <w:sz w:val="32"/>
          <w:shd w:val="clear" w:color="auto" w:fill="FFFFFF"/>
          <w:lang w:val="en-US" w:eastAsia="zh-CN"/>
        </w:rPr>
        <w:t>市委宣传部、市工商联市财政局、市人社局，各县区（园区）按职责分工）</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四、保障措施</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2" w:firstLineChars="200"/>
        <w:textAlignment w:val="auto"/>
        <w:rPr>
          <w:rFonts w:hint="default" w:ascii="仿宋" w:hAnsi="仿宋" w:eastAsia="仿宋" w:cs="仿宋"/>
          <w:b w:val="0"/>
          <w:i w:val="0"/>
          <w:snapToGrid/>
          <w:color w:val="000000"/>
          <w:spacing w:val="-4"/>
          <w:sz w:val="32"/>
          <w:shd w:val="clear" w:color="auto" w:fill="FFFFFF"/>
          <w:lang w:val="en-US" w:eastAsia="zh-CN"/>
        </w:rPr>
      </w:pPr>
      <w:r>
        <w:rPr>
          <w:rFonts w:hint="default" w:ascii="仿宋_GB2312" w:hAnsi="仿宋_GB2312" w:eastAsia="仿宋_GB2312" w:cs="仿宋_GB2312"/>
          <w:b/>
          <w:bCs/>
          <w:kern w:val="2"/>
          <w:sz w:val="32"/>
          <w:szCs w:val="32"/>
          <w:lang w:val="en-US" w:eastAsia="zh-CN" w:bidi="ar-SA"/>
        </w:rPr>
        <w:t>（一）强化组织保障。</w:t>
      </w:r>
      <w:r>
        <w:rPr>
          <w:rFonts w:hint="default" w:ascii="仿宋" w:hAnsi="仿宋" w:eastAsia="仿宋" w:cs="仿宋"/>
          <w:b w:val="0"/>
          <w:i w:val="0"/>
          <w:snapToGrid/>
          <w:color w:val="000000"/>
          <w:spacing w:val="-4"/>
          <w:sz w:val="32"/>
          <w:shd w:val="clear" w:color="auto" w:fill="FFFFFF"/>
          <w:lang w:val="en-US" w:eastAsia="zh-CN"/>
        </w:rPr>
        <w:t>市发展民营经济领导小组统筹协调推进</w:t>
      </w:r>
      <w:r>
        <w:rPr>
          <w:rFonts w:hint="eastAsia" w:ascii="仿宋" w:hAnsi="仿宋" w:eastAsia="仿宋" w:cs="仿宋"/>
          <w:b w:val="0"/>
          <w:i w:val="0"/>
          <w:snapToGrid/>
          <w:color w:val="000000"/>
          <w:spacing w:val="-4"/>
          <w:sz w:val="32"/>
          <w:shd w:val="clear" w:color="auto" w:fill="FFFFFF"/>
          <w:lang w:val="en-US" w:eastAsia="zh-CN"/>
        </w:rPr>
        <w:t>全市规上工业企业、高新技术工业企业、战略性新兴产业企业、专精特新企业</w:t>
      </w:r>
      <w:r>
        <w:rPr>
          <w:rFonts w:hint="default" w:ascii="仿宋" w:hAnsi="仿宋" w:eastAsia="仿宋" w:cs="仿宋"/>
          <w:b w:val="0"/>
          <w:i w:val="0"/>
          <w:snapToGrid/>
          <w:color w:val="000000"/>
          <w:spacing w:val="-4"/>
          <w:sz w:val="32"/>
          <w:shd w:val="clear" w:color="auto" w:fill="FFFFFF"/>
          <w:lang w:val="en-US" w:eastAsia="zh-CN"/>
        </w:rPr>
        <w:t>发展工</w:t>
      </w:r>
      <w:r>
        <w:rPr>
          <w:rFonts w:hint="eastAsia" w:ascii="仿宋" w:hAnsi="仿宋" w:eastAsia="仿宋" w:cs="仿宋"/>
          <w:b w:val="0"/>
          <w:i w:val="0"/>
          <w:snapToGrid/>
          <w:color w:val="000000"/>
          <w:spacing w:val="-4"/>
          <w:sz w:val="32"/>
          <w:shd w:val="clear" w:color="auto" w:fill="FFFFFF"/>
          <w:lang w:val="en-US" w:eastAsia="zh-CN"/>
        </w:rPr>
        <w:t>作，将有关单位、县区（园区）规上企业、高新技术工业企业、战略性新兴产业企业、专精特新企业发展情况纳入目标绩效考核。</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2" w:firstLineChars="200"/>
        <w:textAlignment w:val="auto"/>
        <w:rPr>
          <w:rFonts w:hint="default" w:ascii="仿宋" w:hAnsi="仿宋" w:eastAsia="仿宋" w:cs="仿宋"/>
          <w:b w:val="0"/>
          <w:i w:val="0"/>
          <w:snapToGrid/>
          <w:color w:val="000000"/>
          <w:spacing w:val="-4"/>
          <w:sz w:val="32"/>
          <w:shd w:val="clear" w:color="auto" w:fill="FFFFFF"/>
          <w:lang w:val="en-US" w:eastAsia="zh-CN"/>
        </w:rPr>
      </w:pPr>
      <w:r>
        <w:rPr>
          <w:rFonts w:hint="default" w:ascii="仿宋_GB2312" w:hAnsi="仿宋_GB2312" w:eastAsia="仿宋_GB2312" w:cs="仿宋_GB2312"/>
          <w:b/>
          <w:bCs/>
          <w:kern w:val="2"/>
          <w:sz w:val="32"/>
          <w:szCs w:val="32"/>
          <w:lang w:val="en-US" w:eastAsia="zh-CN" w:bidi="ar-SA"/>
        </w:rPr>
        <w:t>（二）落实资金政策</w:t>
      </w:r>
      <w:r>
        <w:rPr>
          <w:rFonts w:hint="eastAsia" w:ascii="仿宋_GB2312" w:hAnsi="仿宋_GB2312" w:eastAsia="仿宋_GB2312" w:cs="仿宋_GB2312"/>
          <w:b/>
          <w:bCs/>
          <w:kern w:val="2"/>
          <w:sz w:val="32"/>
          <w:szCs w:val="32"/>
          <w:lang w:val="en-US" w:eastAsia="zh-CN" w:bidi="ar-SA"/>
        </w:rPr>
        <w:t>。</w:t>
      </w:r>
      <w:r>
        <w:rPr>
          <w:rFonts w:hint="default" w:ascii="仿宋" w:hAnsi="仿宋" w:eastAsia="仿宋" w:cs="仿宋"/>
          <w:b w:val="0"/>
          <w:i w:val="0"/>
          <w:snapToGrid/>
          <w:color w:val="000000"/>
          <w:spacing w:val="-4"/>
          <w:sz w:val="32"/>
          <w:shd w:val="clear" w:color="auto" w:fill="FFFFFF"/>
          <w:lang w:val="en-US" w:eastAsia="zh-CN"/>
        </w:rPr>
        <w:t>市财政设立专项</w:t>
      </w:r>
      <w:r>
        <w:rPr>
          <w:rFonts w:hint="eastAsia" w:ascii="仿宋" w:hAnsi="仿宋" w:eastAsia="仿宋" w:cs="仿宋"/>
          <w:b w:val="0"/>
          <w:i w:val="0"/>
          <w:snapToGrid/>
          <w:color w:val="000000"/>
          <w:spacing w:val="-4"/>
          <w:sz w:val="32"/>
          <w:shd w:val="clear" w:color="auto" w:fill="FFFFFF"/>
          <w:lang w:val="en-US" w:eastAsia="zh-CN"/>
        </w:rPr>
        <w:t>产业</w:t>
      </w:r>
      <w:r>
        <w:rPr>
          <w:rFonts w:hint="default" w:ascii="仿宋" w:hAnsi="仿宋" w:eastAsia="仿宋" w:cs="仿宋"/>
          <w:b w:val="0"/>
          <w:i w:val="0"/>
          <w:snapToGrid/>
          <w:color w:val="000000"/>
          <w:spacing w:val="-4"/>
          <w:sz w:val="32"/>
          <w:shd w:val="clear" w:color="auto" w:fill="FFFFFF"/>
          <w:lang w:val="en-US" w:eastAsia="zh-CN"/>
        </w:rPr>
        <w:t>资金，非免申即享政策通过奖补等方式落实，免申即享类政策按惠企通申报程序办理，在不重复享受的原则上对</w:t>
      </w:r>
      <w:r>
        <w:rPr>
          <w:rFonts w:hint="eastAsia" w:ascii="仿宋" w:hAnsi="仿宋" w:eastAsia="仿宋" w:cs="仿宋"/>
          <w:b w:val="0"/>
          <w:i w:val="0"/>
          <w:snapToGrid/>
          <w:color w:val="000000"/>
          <w:spacing w:val="-4"/>
          <w:sz w:val="32"/>
          <w:shd w:val="clear" w:color="auto" w:fill="FFFFFF"/>
          <w:lang w:val="en-US" w:eastAsia="zh-CN"/>
        </w:rPr>
        <w:t>规上工业企业、高新技术工业企业、战略性新兴产业企业、</w:t>
      </w:r>
      <w:r>
        <w:rPr>
          <w:rFonts w:hint="default" w:ascii="仿宋" w:hAnsi="仿宋" w:eastAsia="仿宋" w:cs="仿宋"/>
          <w:b w:val="0"/>
          <w:i w:val="0"/>
          <w:snapToGrid/>
          <w:color w:val="000000"/>
          <w:spacing w:val="-4"/>
          <w:sz w:val="32"/>
          <w:shd w:val="clear" w:color="auto" w:fill="FFFFFF"/>
          <w:lang w:val="en-US" w:eastAsia="zh-CN"/>
        </w:rPr>
        <w:t>专精特新企业</w:t>
      </w:r>
      <w:r>
        <w:rPr>
          <w:rFonts w:hint="eastAsia" w:ascii="仿宋" w:hAnsi="仿宋" w:eastAsia="仿宋" w:cs="仿宋"/>
          <w:b w:val="0"/>
          <w:i w:val="0"/>
          <w:snapToGrid/>
          <w:color w:val="000000"/>
          <w:spacing w:val="-4"/>
          <w:sz w:val="32"/>
          <w:shd w:val="clear" w:color="auto" w:fill="FFFFFF"/>
          <w:lang w:val="en-US" w:eastAsia="zh-CN"/>
        </w:rPr>
        <w:t>、上市企业</w:t>
      </w:r>
      <w:r>
        <w:rPr>
          <w:rFonts w:hint="default" w:ascii="仿宋" w:hAnsi="仿宋" w:eastAsia="仿宋" w:cs="仿宋"/>
          <w:b w:val="0"/>
          <w:i w:val="0"/>
          <w:snapToGrid/>
          <w:color w:val="000000"/>
          <w:spacing w:val="-4"/>
          <w:sz w:val="32"/>
          <w:shd w:val="clear" w:color="auto" w:fill="FFFFFF"/>
          <w:lang w:val="en-US" w:eastAsia="zh-CN"/>
        </w:rPr>
        <w:t>应享受的政策及时兑现奖补资金，资金直达企业。根据亩均效益评价结果，原则上只对A类（优先发展类）、B类（鼓励提升类）工业企业予以扶持或奖补。</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b w:val="0"/>
          <w:i w:val="0"/>
          <w:snapToGrid/>
          <w:color w:val="000000"/>
          <w:spacing w:val="-4"/>
          <w:sz w:val="32"/>
          <w:shd w:val="clear" w:color="auto" w:fill="FFFFFF"/>
          <w:lang w:val="en-US" w:eastAsia="zh-CN"/>
        </w:rPr>
      </w:pPr>
      <w:r>
        <w:rPr>
          <w:rFonts w:hint="default" w:ascii="仿宋_GB2312" w:hAnsi="仿宋_GB2312" w:eastAsia="仿宋_GB2312" w:cs="仿宋_GB2312"/>
          <w:b/>
          <w:bCs/>
          <w:kern w:val="2"/>
          <w:sz w:val="32"/>
          <w:szCs w:val="32"/>
          <w:lang w:val="en-US" w:eastAsia="zh-CN" w:bidi="ar-SA"/>
        </w:rPr>
        <w:t>（三）加强培育</w:t>
      </w:r>
      <w:r>
        <w:rPr>
          <w:rFonts w:hint="eastAsia" w:ascii="仿宋_GB2312" w:hAnsi="仿宋_GB2312" w:eastAsia="仿宋_GB2312" w:cs="仿宋_GB2312"/>
          <w:b/>
          <w:bCs/>
          <w:kern w:val="2"/>
          <w:sz w:val="32"/>
          <w:szCs w:val="32"/>
          <w:lang w:val="en-US" w:eastAsia="zh-CN" w:bidi="ar-SA"/>
        </w:rPr>
        <w:t>指导</w:t>
      </w:r>
      <w:r>
        <w:rPr>
          <w:rFonts w:hint="default" w:ascii="仿宋_GB2312" w:hAnsi="仿宋_GB2312" w:eastAsia="仿宋_GB2312" w:cs="仿宋_GB2312"/>
          <w:b/>
          <w:bCs/>
          <w:kern w:val="2"/>
          <w:sz w:val="32"/>
          <w:szCs w:val="32"/>
          <w:lang w:val="en-US" w:eastAsia="zh-CN" w:bidi="ar-SA"/>
        </w:rPr>
        <w:t>。</w:t>
      </w:r>
      <w:r>
        <w:rPr>
          <w:rFonts w:hint="eastAsia" w:ascii="仿宋" w:hAnsi="仿宋" w:eastAsia="仿宋" w:cs="仿宋"/>
          <w:b w:val="0"/>
          <w:i w:val="0"/>
          <w:snapToGrid/>
          <w:color w:val="000000"/>
          <w:spacing w:val="-4"/>
          <w:sz w:val="32"/>
          <w:shd w:val="clear" w:color="auto" w:fill="FFFFFF"/>
          <w:lang w:val="en-US" w:eastAsia="zh-CN"/>
        </w:rPr>
        <w:t>建立规上企业、高新技术工业企业、战略性新兴产业企业、专精特新企业、上市企业培育库，每月开展动态更新监测，按月调度、按季“赛马”、按年考核，突出奖惩激励导向，梯次培育，实现倍增。</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 w:cs="Times New Roman"/>
          <w:b w:val="0"/>
          <w:bCs w:val="0"/>
          <w:color w:val="000000"/>
          <w:sz w:val="32"/>
          <w:szCs w:val="32"/>
          <w:u w:val="none"/>
          <w:lang w:val="en-US" w:eastAsia="zh-CN"/>
        </w:rPr>
      </w:pPr>
      <w:r>
        <w:rPr>
          <w:rFonts w:hint="eastAsia" w:ascii="仿宋_GB2312" w:hAnsi="仿宋_GB2312" w:eastAsia="仿宋_GB2312" w:cs="仿宋_GB2312"/>
          <w:b/>
          <w:bCs/>
          <w:kern w:val="2"/>
          <w:sz w:val="32"/>
          <w:szCs w:val="32"/>
          <w:lang w:val="en-US" w:eastAsia="zh-CN" w:bidi="ar-SA"/>
        </w:rPr>
        <w:t>（四）营造良好环境</w:t>
      </w:r>
      <w:r>
        <w:rPr>
          <w:rFonts w:hint="default" w:ascii="仿宋_GB2312" w:hAnsi="仿宋_GB2312" w:eastAsia="仿宋_GB2312" w:cs="仿宋_GB2312"/>
          <w:b/>
          <w:bCs/>
          <w:kern w:val="2"/>
          <w:sz w:val="32"/>
          <w:szCs w:val="32"/>
          <w:lang w:val="en-US" w:eastAsia="zh-CN" w:bidi="ar-SA"/>
        </w:rPr>
        <w:t>。</w:t>
      </w:r>
      <w:r>
        <w:rPr>
          <w:rFonts w:hint="default" w:ascii="仿宋" w:hAnsi="仿宋" w:eastAsia="仿宋" w:cs="仿宋"/>
          <w:b w:val="0"/>
          <w:i w:val="0"/>
          <w:snapToGrid/>
          <w:color w:val="000000"/>
          <w:spacing w:val="-4"/>
          <w:sz w:val="32"/>
          <w:shd w:val="clear" w:color="auto" w:fill="FFFFFF"/>
          <w:lang w:val="en-US" w:eastAsia="zh-CN"/>
        </w:rPr>
        <w:t>建立市、县区（园区）重点企业首席代办员（服务员）制度</w:t>
      </w:r>
      <w:r>
        <w:rPr>
          <w:rFonts w:hint="eastAsia" w:ascii="仿宋" w:hAnsi="仿宋" w:eastAsia="仿宋" w:cs="仿宋"/>
          <w:b w:val="0"/>
          <w:i w:val="0"/>
          <w:snapToGrid/>
          <w:color w:val="000000"/>
          <w:spacing w:val="-4"/>
          <w:sz w:val="32"/>
          <w:shd w:val="clear" w:color="auto" w:fill="FFFFFF"/>
          <w:lang w:val="en-US" w:eastAsia="zh-CN"/>
        </w:rPr>
        <w:t>，落实</w:t>
      </w:r>
      <w:r>
        <w:rPr>
          <w:rFonts w:hint="default" w:ascii="仿宋" w:hAnsi="仿宋" w:eastAsia="仿宋" w:cs="仿宋"/>
          <w:b w:val="0"/>
          <w:i w:val="0"/>
          <w:snapToGrid/>
          <w:color w:val="000000"/>
          <w:spacing w:val="-4"/>
          <w:sz w:val="32"/>
          <w:shd w:val="clear" w:color="auto" w:fill="FFFFFF"/>
          <w:lang w:val="en-US" w:eastAsia="zh-CN"/>
        </w:rPr>
        <w:t>市、县领导包保责任制</w:t>
      </w:r>
      <w:r>
        <w:rPr>
          <w:rFonts w:hint="eastAsia" w:ascii="仿宋" w:hAnsi="仿宋" w:eastAsia="仿宋" w:cs="仿宋"/>
          <w:b w:val="0"/>
          <w:i w:val="0"/>
          <w:snapToGrid/>
          <w:color w:val="000000"/>
          <w:spacing w:val="-4"/>
          <w:sz w:val="32"/>
          <w:shd w:val="clear" w:color="auto" w:fill="FFFFFF"/>
          <w:lang w:val="en-US" w:eastAsia="zh-CN"/>
        </w:rPr>
        <w:t>，为拟培育的规上工业企业、高新技术工业企业、战略性新兴产业企业、</w:t>
      </w:r>
      <w:r>
        <w:rPr>
          <w:rFonts w:hint="default" w:ascii="仿宋" w:hAnsi="仿宋" w:eastAsia="仿宋" w:cs="仿宋"/>
          <w:b w:val="0"/>
          <w:i w:val="0"/>
          <w:snapToGrid/>
          <w:color w:val="000000"/>
          <w:spacing w:val="-4"/>
          <w:sz w:val="32"/>
          <w:shd w:val="clear" w:color="auto" w:fill="FFFFFF"/>
          <w:lang w:val="en-US" w:eastAsia="zh-CN"/>
        </w:rPr>
        <w:t>专精特新企</w:t>
      </w:r>
      <w:r>
        <w:rPr>
          <w:rFonts w:hint="eastAsia" w:ascii="仿宋" w:hAnsi="仿宋" w:eastAsia="仿宋" w:cs="仿宋"/>
          <w:b w:val="0"/>
          <w:i w:val="0"/>
          <w:snapToGrid/>
          <w:color w:val="000000"/>
          <w:spacing w:val="-4"/>
          <w:sz w:val="32"/>
          <w:shd w:val="clear" w:color="auto" w:fill="FFFFFF"/>
          <w:lang w:val="en-US" w:eastAsia="zh-CN"/>
        </w:rPr>
        <w:t>业配备1名服务专员，推行顶格服务机制，</w:t>
      </w:r>
      <w:r>
        <w:rPr>
          <w:rFonts w:hint="default" w:ascii="仿宋" w:hAnsi="仿宋" w:eastAsia="仿宋" w:cs="仿宋"/>
          <w:b w:val="0"/>
          <w:i w:val="0"/>
          <w:snapToGrid/>
          <w:color w:val="000000"/>
          <w:spacing w:val="-4"/>
          <w:sz w:val="32"/>
          <w:shd w:val="clear" w:color="auto" w:fill="FFFFFF"/>
          <w:lang w:val="en-US" w:eastAsia="zh-CN"/>
        </w:rPr>
        <w:t>坚持“好时不扰、难时出手”，表格化、清单式协调解决企业实际困难和问题。综合运用传统媒体和新兴媒体，挖掘先进典型，讲好企业家故事，努力营造中小企业专精特新发展的浓厚氛围，推</w:t>
      </w:r>
      <w:r>
        <w:rPr>
          <w:rFonts w:hint="eastAsia" w:ascii="仿宋" w:hAnsi="仿宋" w:eastAsia="仿宋" w:cs="仿宋"/>
          <w:b w:val="0"/>
          <w:i w:val="0"/>
          <w:snapToGrid/>
          <w:color w:val="000000"/>
          <w:spacing w:val="-4"/>
          <w:sz w:val="32"/>
          <w:shd w:val="clear" w:color="auto" w:fill="FFFFFF"/>
          <w:lang w:val="en-US" w:eastAsia="zh-CN"/>
        </w:rPr>
        <w:t>动我市工业经济高质量发展</w:t>
      </w:r>
      <w:r>
        <w:rPr>
          <w:rFonts w:hint="default" w:ascii="仿宋" w:hAnsi="仿宋" w:eastAsia="仿宋" w:cs="仿宋"/>
          <w:b w:val="0"/>
          <w:i w:val="0"/>
          <w:snapToGrid/>
          <w:color w:val="000000"/>
          <w:spacing w:val="-4"/>
          <w:sz w:val="32"/>
          <w:shd w:val="clear" w:color="auto" w:fill="FFFFFF"/>
          <w:lang w:val="en-US" w:eastAsia="zh-CN"/>
        </w:rPr>
        <w:t xml:space="preserve">。                          </w:t>
      </w:r>
      <w:r>
        <w:rPr>
          <w:rFonts w:hint="eastAsia" w:ascii="仿宋" w:hAnsi="仿宋" w:eastAsia="仿宋" w:cs="仿宋"/>
          <w:b w:val="0"/>
          <w:i w:val="0"/>
          <w:snapToGrid/>
          <w:color w:val="000000"/>
          <w:spacing w:val="-4"/>
          <w:sz w:val="32"/>
          <w:shd w:val="clear" w:color="auto" w:fill="FFFFFF"/>
          <w:lang w:val="en-US" w:eastAsia="zh-CN"/>
        </w:rPr>
        <w:t xml:space="preserve"> </w:t>
      </w:r>
      <w:r>
        <w:rPr>
          <w:rFonts w:hint="eastAsia" w:ascii="Times New Roman" w:hAnsi="Times New Roman" w:eastAsia="仿宋" w:cs="Times New Roman"/>
          <w:b w:val="0"/>
          <w:bCs w:val="0"/>
          <w:color w:val="000000"/>
          <w:sz w:val="32"/>
          <w:szCs w:val="32"/>
          <w:u w:val="none"/>
          <w:lang w:val="en-US" w:eastAsia="zh-CN"/>
        </w:rPr>
        <w:t xml:space="preserve">     </w:t>
      </w:r>
    </w:p>
    <w:sectPr>
      <w:footerReference r:id="rId3" w:type="default"/>
      <w:pgSz w:w="11906" w:h="16838"/>
      <w:pgMar w:top="1440" w:right="1406" w:bottom="1157" w:left="14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18030">
    <w:panose1 w:val="02000500000000000000"/>
    <w:charset w:val="86"/>
    <w:family w:val="auto"/>
    <w:pitch w:val="default"/>
    <w:sig w:usb0="A00002BF" w:usb1="38C77CFA"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FC21A"/>
    <w:multiLevelType w:val="singleLevel"/>
    <w:tmpl w:val="3EDFC21A"/>
    <w:lvl w:ilvl="0" w:tentative="0">
      <w:start w:val="4"/>
      <w:numFmt w:val="chineseCounting"/>
      <w:suff w:val="nothing"/>
      <w:lvlText w:val="（%1）"/>
      <w:lvlJc w:val="left"/>
      <w:rPr>
        <w:rFonts w:hint="eastAsia"/>
      </w:rPr>
    </w:lvl>
  </w:abstractNum>
  <w:abstractNum w:abstractNumId="1">
    <w:nsid w:val="6FBAA7AF"/>
    <w:multiLevelType w:val="singleLevel"/>
    <w:tmpl w:val="6FBAA7AF"/>
    <w:lvl w:ilvl="0" w:tentative="0">
      <w:start w:val="5"/>
      <w:numFmt w:val="chineseCounting"/>
      <w:suff w:val="nothing"/>
      <w:lvlText w:val="（%1）"/>
      <w:lvlJc w:val="left"/>
      <w:pPr>
        <w:ind w:left="48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Mjc3YjMzNjNmOWE4YTI3MDg0OWVlNzZlNzFlMGUifQ=="/>
  </w:docVars>
  <w:rsids>
    <w:rsidRoot w:val="FFDFB318"/>
    <w:rsid w:val="030376E3"/>
    <w:rsid w:val="038FBAD6"/>
    <w:rsid w:val="0BB15CFC"/>
    <w:rsid w:val="0E804089"/>
    <w:rsid w:val="11AC7199"/>
    <w:rsid w:val="15A85EC8"/>
    <w:rsid w:val="1BBF8DF6"/>
    <w:rsid w:val="1DF6AA51"/>
    <w:rsid w:val="1DF7B1A4"/>
    <w:rsid w:val="1E346CF2"/>
    <w:rsid w:val="1EA82F5E"/>
    <w:rsid w:val="1FAF6D31"/>
    <w:rsid w:val="20152D31"/>
    <w:rsid w:val="27BFE19C"/>
    <w:rsid w:val="287B1E41"/>
    <w:rsid w:val="29B73994"/>
    <w:rsid w:val="2BEEBAF0"/>
    <w:rsid w:val="2BFF1C6D"/>
    <w:rsid w:val="2FB337BF"/>
    <w:rsid w:val="2FBDDAD4"/>
    <w:rsid w:val="31A07478"/>
    <w:rsid w:val="35760328"/>
    <w:rsid w:val="35CE3080"/>
    <w:rsid w:val="36EFB5EB"/>
    <w:rsid w:val="37AFEBFF"/>
    <w:rsid w:val="37DD45F2"/>
    <w:rsid w:val="39EAB2B9"/>
    <w:rsid w:val="3A5E0678"/>
    <w:rsid w:val="3AD3C93C"/>
    <w:rsid w:val="3B77868C"/>
    <w:rsid w:val="3BFF6DC9"/>
    <w:rsid w:val="3D5520F0"/>
    <w:rsid w:val="3DDF9B46"/>
    <w:rsid w:val="3E3FF0AE"/>
    <w:rsid w:val="3E449C45"/>
    <w:rsid w:val="3E9D4C7D"/>
    <w:rsid w:val="3EF94F1D"/>
    <w:rsid w:val="3F4BF929"/>
    <w:rsid w:val="3F7C7530"/>
    <w:rsid w:val="3F7E3745"/>
    <w:rsid w:val="3FA02F2B"/>
    <w:rsid w:val="3FEFF7A4"/>
    <w:rsid w:val="3FF43370"/>
    <w:rsid w:val="3FF7BCE3"/>
    <w:rsid w:val="3FFD406D"/>
    <w:rsid w:val="3FFE10B0"/>
    <w:rsid w:val="3FFF0BB3"/>
    <w:rsid w:val="40425D1B"/>
    <w:rsid w:val="474E075E"/>
    <w:rsid w:val="47AF3D81"/>
    <w:rsid w:val="47CA56A6"/>
    <w:rsid w:val="498C7844"/>
    <w:rsid w:val="4AFDCD19"/>
    <w:rsid w:val="4F5BD9E8"/>
    <w:rsid w:val="4FCA8837"/>
    <w:rsid w:val="57CD43E4"/>
    <w:rsid w:val="57E312C0"/>
    <w:rsid w:val="57FFA66B"/>
    <w:rsid w:val="583DACCE"/>
    <w:rsid w:val="5ADFF2BA"/>
    <w:rsid w:val="5B3FCE18"/>
    <w:rsid w:val="5EDBEE19"/>
    <w:rsid w:val="5EDF2BA2"/>
    <w:rsid w:val="5F3FE013"/>
    <w:rsid w:val="5F6CA6D2"/>
    <w:rsid w:val="5F6EBD57"/>
    <w:rsid w:val="5FD6E135"/>
    <w:rsid w:val="5FE7973B"/>
    <w:rsid w:val="5FEDA00E"/>
    <w:rsid w:val="5FEDD821"/>
    <w:rsid w:val="5FF57947"/>
    <w:rsid w:val="5FFBF623"/>
    <w:rsid w:val="62C751AC"/>
    <w:rsid w:val="666473C9"/>
    <w:rsid w:val="66743D07"/>
    <w:rsid w:val="67FC1C23"/>
    <w:rsid w:val="69F22AA0"/>
    <w:rsid w:val="69FD5266"/>
    <w:rsid w:val="6B0D435D"/>
    <w:rsid w:val="6B6BC2A0"/>
    <w:rsid w:val="6B943F5D"/>
    <w:rsid w:val="6BA07497"/>
    <w:rsid w:val="6BFB3F03"/>
    <w:rsid w:val="6C5F7D55"/>
    <w:rsid w:val="6EF073AB"/>
    <w:rsid w:val="6EF71916"/>
    <w:rsid w:val="6EFBFF35"/>
    <w:rsid w:val="6FDDBA3D"/>
    <w:rsid w:val="70E13595"/>
    <w:rsid w:val="72CC16C8"/>
    <w:rsid w:val="73E6120B"/>
    <w:rsid w:val="74B62AFD"/>
    <w:rsid w:val="756F3D2C"/>
    <w:rsid w:val="75EF2DAA"/>
    <w:rsid w:val="76BBC246"/>
    <w:rsid w:val="76BF89BB"/>
    <w:rsid w:val="77711618"/>
    <w:rsid w:val="77A96605"/>
    <w:rsid w:val="77AE1242"/>
    <w:rsid w:val="77DB541E"/>
    <w:rsid w:val="77F04D03"/>
    <w:rsid w:val="77F8FB7D"/>
    <w:rsid w:val="77FDD212"/>
    <w:rsid w:val="77FF03B4"/>
    <w:rsid w:val="77FFA87C"/>
    <w:rsid w:val="7996345B"/>
    <w:rsid w:val="79DD92D4"/>
    <w:rsid w:val="7AF72289"/>
    <w:rsid w:val="7AFFD7DA"/>
    <w:rsid w:val="7B3BEDFA"/>
    <w:rsid w:val="7B72A6EB"/>
    <w:rsid w:val="7B7FE8B8"/>
    <w:rsid w:val="7B9F9088"/>
    <w:rsid w:val="7BB79CAD"/>
    <w:rsid w:val="7BBF77F6"/>
    <w:rsid w:val="7BCF996C"/>
    <w:rsid w:val="7C635C7A"/>
    <w:rsid w:val="7C6F8E01"/>
    <w:rsid w:val="7DFE4EB6"/>
    <w:rsid w:val="7E461581"/>
    <w:rsid w:val="7E4E3093"/>
    <w:rsid w:val="7E773E7C"/>
    <w:rsid w:val="7EBF74EE"/>
    <w:rsid w:val="7EBF8392"/>
    <w:rsid w:val="7EDE7CC9"/>
    <w:rsid w:val="7EE32A56"/>
    <w:rsid w:val="7EFD5315"/>
    <w:rsid w:val="7F138851"/>
    <w:rsid w:val="7F1ACE1F"/>
    <w:rsid w:val="7F7D53D7"/>
    <w:rsid w:val="7FB38D8C"/>
    <w:rsid w:val="7FDB34B9"/>
    <w:rsid w:val="7FEF7346"/>
    <w:rsid w:val="7FF10BD8"/>
    <w:rsid w:val="7FF5AD62"/>
    <w:rsid w:val="7FF71CB0"/>
    <w:rsid w:val="7FF76B20"/>
    <w:rsid w:val="7FFD14EE"/>
    <w:rsid w:val="7FFF93BB"/>
    <w:rsid w:val="7FFFB9C0"/>
    <w:rsid w:val="833BA177"/>
    <w:rsid w:val="8FDF0FA5"/>
    <w:rsid w:val="9DBFAF14"/>
    <w:rsid w:val="9FF8042E"/>
    <w:rsid w:val="A2E546CB"/>
    <w:rsid w:val="A5D65D84"/>
    <w:rsid w:val="A7E859BA"/>
    <w:rsid w:val="ABF9AE2E"/>
    <w:rsid w:val="B55E1446"/>
    <w:rsid w:val="B7DD90E5"/>
    <w:rsid w:val="B7ED3801"/>
    <w:rsid w:val="B7F69629"/>
    <w:rsid w:val="B7FDA71D"/>
    <w:rsid w:val="B7FFF15C"/>
    <w:rsid w:val="B9C791B5"/>
    <w:rsid w:val="BB3F6E86"/>
    <w:rsid w:val="BB9FD46D"/>
    <w:rsid w:val="BD6F1C92"/>
    <w:rsid w:val="BDFD130C"/>
    <w:rsid w:val="BDFF8C94"/>
    <w:rsid w:val="BFBBFE87"/>
    <w:rsid w:val="BFFBDCB4"/>
    <w:rsid w:val="BFFD195F"/>
    <w:rsid w:val="C3D30C53"/>
    <w:rsid w:val="CB7FE8C5"/>
    <w:rsid w:val="CC9F4656"/>
    <w:rsid w:val="CF6D91CD"/>
    <w:rsid w:val="CFF7CF92"/>
    <w:rsid w:val="CFFB1FD1"/>
    <w:rsid w:val="CFFE4677"/>
    <w:rsid w:val="D69DC325"/>
    <w:rsid w:val="D7CF8ACC"/>
    <w:rsid w:val="D85F28E1"/>
    <w:rsid w:val="DA5697FB"/>
    <w:rsid w:val="DAED7E86"/>
    <w:rsid w:val="DBFD593A"/>
    <w:rsid w:val="DBFF190F"/>
    <w:rsid w:val="DE7ECE16"/>
    <w:rsid w:val="DF4D7106"/>
    <w:rsid w:val="DF7AEE4C"/>
    <w:rsid w:val="DFCF59DA"/>
    <w:rsid w:val="DFD333EB"/>
    <w:rsid w:val="DFD580E2"/>
    <w:rsid w:val="DFDFEFB6"/>
    <w:rsid w:val="DFEB45E7"/>
    <w:rsid w:val="DFF3E405"/>
    <w:rsid w:val="E4D576AD"/>
    <w:rsid w:val="E577DEDB"/>
    <w:rsid w:val="E677E6FE"/>
    <w:rsid w:val="E737E0D1"/>
    <w:rsid w:val="E73F3FE4"/>
    <w:rsid w:val="E9FA3F56"/>
    <w:rsid w:val="EBFB1C32"/>
    <w:rsid w:val="ED7D0B30"/>
    <w:rsid w:val="EEBB98A2"/>
    <w:rsid w:val="EEF200A3"/>
    <w:rsid w:val="EEFF5440"/>
    <w:rsid w:val="EF9CC910"/>
    <w:rsid w:val="EFAEC1FD"/>
    <w:rsid w:val="EFAEFD58"/>
    <w:rsid w:val="EFAF9C70"/>
    <w:rsid w:val="EFD74B09"/>
    <w:rsid w:val="EFDE58C7"/>
    <w:rsid w:val="EFDFCC56"/>
    <w:rsid w:val="EFF94EE9"/>
    <w:rsid w:val="F2EFD54F"/>
    <w:rsid w:val="F2F728C8"/>
    <w:rsid w:val="F3877179"/>
    <w:rsid w:val="F3E99D4B"/>
    <w:rsid w:val="F3FAFF1B"/>
    <w:rsid w:val="F6AE7B4B"/>
    <w:rsid w:val="F7583EEB"/>
    <w:rsid w:val="F7FF24E8"/>
    <w:rsid w:val="F8FFA4B2"/>
    <w:rsid w:val="F91FA44F"/>
    <w:rsid w:val="F9752C06"/>
    <w:rsid w:val="F9BD642B"/>
    <w:rsid w:val="F9DF9F1D"/>
    <w:rsid w:val="F9EF4F84"/>
    <w:rsid w:val="F9FB1F9F"/>
    <w:rsid w:val="FA9D840E"/>
    <w:rsid w:val="FBBF4C40"/>
    <w:rsid w:val="FBE93C50"/>
    <w:rsid w:val="FCFDA2D2"/>
    <w:rsid w:val="FDB73EEB"/>
    <w:rsid w:val="FDD73D8C"/>
    <w:rsid w:val="FDDE1964"/>
    <w:rsid w:val="FDEFDC7A"/>
    <w:rsid w:val="FDF5BF7C"/>
    <w:rsid w:val="FDFF3426"/>
    <w:rsid w:val="FE7F39D5"/>
    <w:rsid w:val="FE7FF3D7"/>
    <w:rsid w:val="FE979C8B"/>
    <w:rsid w:val="FEBA136C"/>
    <w:rsid w:val="FF8DBD5C"/>
    <w:rsid w:val="FF9C948E"/>
    <w:rsid w:val="FFB19B0B"/>
    <w:rsid w:val="FFB82821"/>
    <w:rsid w:val="FFBFE588"/>
    <w:rsid w:val="FFD22B45"/>
    <w:rsid w:val="FFDDC1D7"/>
    <w:rsid w:val="FFDEF6DF"/>
    <w:rsid w:val="FFDFB318"/>
    <w:rsid w:val="FFFF9B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hint="eastAsia" w:ascii="宋体" w:hAnsi="宋体"/>
      <w:kern w:val="0"/>
      <w:sz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5381</Words>
  <Characters>5488</Characters>
  <Lines>0</Lines>
  <Paragraphs>0</Paragraphs>
  <TotalTime>14.6666666666667</TotalTime>
  <ScaleCrop>false</ScaleCrop>
  <LinksUpToDate>false</LinksUpToDate>
  <CharactersWithSpaces>5531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2022-10-24T00:07:00Z</dcterms:created>
  <dc:creator>uos</dc:creator>
  <cp:lastModifiedBy>uos</cp:lastModifiedBy>
  <cp:lastPrinted>2023-02-05T14:46:42Z</cp:lastPrinted>
  <dcterms:modified xsi:type="dcterms:W3CDTF">2023-02-03T19:58:51Z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345508A06AC84AD39B0C80FEFF96936E</vt:lpwstr>
  </property>
</Properties>
</file>