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C7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0"/>
        <w:jc w:val="left"/>
        <w:textAlignment w:val="auto"/>
        <w:outlineLvl w:val="9"/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3005"/>
        <w:gridCol w:w="2472"/>
        <w:gridCol w:w="3353"/>
        <w:gridCol w:w="3950"/>
      </w:tblGrid>
      <w:tr w14:paraId="5314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13613" w:type="dxa"/>
            <w:gridSpan w:val="5"/>
            <w:noWrap w:val="0"/>
            <w:vAlign w:val="center"/>
          </w:tcPr>
          <w:p w14:paraId="08AE9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粗黑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  <w:lang w:val="en-US" w:eastAsia="zh-CN"/>
              </w:rPr>
              <w:t>创新型中小企业推荐汇总表</w:t>
            </w:r>
          </w:p>
        </w:tc>
      </w:tr>
      <w:tr w14:paraId="1C9E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6310" w:type="dxa"/>
            <w:gridSpan w:val="3"/>
            <w:noWrap w:val="0"/>
            <w:vAlign w:val="center"/>
          </w:tcPr>
          <w:p w14:paraId="3F17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县区、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园区工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信部门（盖章）：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</w:t>
            </w:r>
          </w:p>
        </w:tc>
        <w:tc>
          <w:tcPr>
            <w:tcW w:w="3353" w:type="dxa"/>
            <w:noWrap w:val="0"/>
            <w:vAlign w:val="center"/>
          </w:tcPr>
          <w:p w14:paraId="25E46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noWrap w:val="0"/>
            <w:vAlign w:val="center"/>
          </w:tcPr>
          <w:p w14:paraId="3A5FD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4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评定得分（满分100分）</w:t>
            </w: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是否满足直通条件之一</w:t>
            </w:r>
          </w:p>
          <w:p w14:paraId="731C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（若满足，说明具体条件）</w:t>
            </w:r>
          </w:p>
        </w:tc>
      </w:tr>
      <w:tr w14:paraId="5141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C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3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E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6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C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75CD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A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7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C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1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A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8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0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C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B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3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C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E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A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6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C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A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5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6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A4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3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5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1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6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2E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F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5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FD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D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5933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6838" w:h="11906" w:orient="landscape"/>
          <w:pgMar w:top="1633" w:right="1440" w:bottom="1633" w:left="1440" w:header="851" w:footer="992" w:gutter="0"/>
          <w:pgNumType w:fmt="numberInDash" w:start="3"/>
          <w:cols w:space="720" w:num="1"/>
          <w:docGrid w:type="lines" w:linePitch="312" w:charSpace="0"/>
        </w:sectPr>
      </w:pPr>
    </w:p>
    <w:p w14:paraId="1C5CB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E1E7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7DA4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创新型中小企业评价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佐证材料</w:t>
      </w:r>
    </w:p>
    <w:p w14:paraId="04015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 w14:paraId="20FC6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一、基础材料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（必须提供）</w:t>
      </w:r>
    </w:p>
    <w:p w14:paraId="65053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近2年所得税纳税申报表（含所得税年度纳税申报表、期间费用明细表）</w:t>
      </w:r>
    </w:p>
    <w:p w14:paraId="67EA4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2.中小企业规模类型自测凭证（可通过工信部“中小企业规模类型自测”小程序自测，保存测试结果，并导出PDF凭证，凭证应包括：企业名称、所属行业、上年末从业人员、上年度营业收入信息）</w:t>
      </w:r>
    </w:p>
    <w:p w14:paraId="19846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3.公共信用报告（无违法违规证明版）</w:t>
      </w:r>
    </w:p>
    <w:p w14:paraId="66714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二、符合四项直通条件之一的企业佐证材料</w:t>
      </w:r>
    </w:p>
    <w:p w14:paraId="1B4C3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.近三年内获得过的国家级、省级科技奖励证书</w:t>
      </w:r>
    </w:p>
    <w:p w14:paraId="76150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.高新技术企业、国家级技术创新示范企业、知识产权优势企业和知识产权示范企业荣誉证书（均为有效期内）</w:t>
      </w:r>
    </w:p>
    <w:p w14:paraId="2AD91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.省部级以上研发机构设立佐证材料</w:t>
      </w:r>
    </w:p>
    <w:p w14:paraId="35B63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.近三年新增股权融资总额（合格机构投资者的实缴额）500万元以上佐证材料，包括银行到账凭证或融资报告（同时提供是合格机构投资者的证明材料）</w:t>
      </w:r>
    </w:p>
    <w:p w14:paraId="22630C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三、评价指标对应的佐证材料（不满足直通条件下提供）</w:t>
      </w:r>
    </w:p>
    <w:p w14:paraId="2A7EA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.I类、II类知识产权证书</w:t>
      </w:r>
    </w:p>
    <w:p w14:paraId="4DD2C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.近两年度审计报告（须赋码，同时包含研发费用支出、主营业务收入、主营业务收入占比、资产负债率等）</w:t>
      </w:r>
    </w:p>
    <w:p w14:paraId="1AF28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可以证明符合得分标准的其他材料</w:t>
      </w:r>
    </w:p>
    <w:p w14:paraId="08E60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6D741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 w14:paraId="1EF62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 w14:paraId="57AAA3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1725E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 w14:paraId="2A955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25E22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 w14:paraId="5B638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56D2B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 w14:paraId="24BB01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4CE2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jc w:val="right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    年    月    日</w:t>
      </w:r>
    </w:p>
    <w:p w14:paraId="622736C5">
      <w:pPr>
        <w:rPr>
          <w:rFonts w:hint="eastAsia"/>
        </w:rPr>
        <w:sectPr>
          <w:footerReference r:id="rId4" w:type="default"/>
          <w:pgSz w:w="11906" w:h="16838"/>
          <w:pgMar w:top="2098" w:right="1474" w:bottom="1814" w:left="1587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434DA0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4</w:t>
      </w:r>
    </w:p>
    <w:p w14:paraId="145B36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安徽省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创新型中小企业评价标准</w:t>
      </w:r>
    </w:p>
    <w:p w14:paraId="0A25CE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ED71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一、公告条件</w:t>
      </w:r>
    </w:p>
    <w:p w14:paraId="2EC306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评价得分达到60分以上（其中创新能力指标得分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不低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于20分、成长性指标及专业化指标得分均不低于15分），或满足下列条件之一：</w:t>
      </w:r>
    </w:p>
    <w:p w14:paraId="60DD11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（一）近三年内获得过国家级、省级科技奖励。</w:t>
      </w:r>
    </w:p>
    <w:p w14:paraId="4BC770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（二）获得高新技术企业、国家级技术创新示范企业、知识产权优势企业和知识产权示范企业等荣誉（均为有效期内）。</w:t>
      </w:r>
    </w:p>
    <w:p w14:paraId="70F66C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（三）拥有经认定的省部级以上研发机构。</w:t>
      </w:r>
    </w:p>
    <w:p w14:paraId="05E806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（四）近三年内新增股权融资总额（合格机构投资者的实缴额）500万元以上。</w:t>
      </w:r>
    </w:p>
    <w:p w14:paraId="53E1C0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二、评价指标</w:t>
      </w:r>
    </w:p>
    <w:p w14:paraId="2BBDE4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包括创新能力、成长性、专业化三类六个指标，评价结果依分值计算，满分为100分。</w:t>
      </w:r>
    </w:p>
    <w:p w14:paraId="7C549D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（一）创新能力指标（满分40分）</w:t>
      </w:r>
    </w:p>
    <w:p w14:paraId="1AC646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与企业主导产品相关的有效知识产权数量（满分20分）</w:t>
      </w:r>
    </w:p>
    <w:p w14:paraId="53BB6C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Ⅰ类高价值知识产权1项以上（20分）</w:t>
      </w:r>
    </w:p>
    <w:p w14:paraId="44C1B2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自主研发的Ⅰ类知识产权1项以上（15分）</w:t>
      </w:r>
    </w:p>
    <w:p w14:paraId="6FB148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Ⅰ类知识产权1项以上（10分）</w:t>
      </w:r>
    </w:p>
    <w:p w14:paraId="7760D7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Ⅱ类知识产权1项以上（5分）</w:t>
      </w:r>
    </w:p>
    <w:p w14:paraId="55E89E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无（0分）</w:t>
      </w:r>
    </w:p>
    <w:p w14:paraId="180567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上年度研发费用总额占营业收入总额比重（满分20分）</w:t>
      </w:r>
    </w:p>
    <w:p w14:paraId="07285C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5%以上（20分）</w:t>
      </w:r>
    </w:p>
    <w:p w14:paraId="6922B9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3%-5%（15分）</w:t>
      </w:r>
    </w:p>
    <w:p w14:paraId="34A40E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2%-3%（10分）</w:t>
      </w:r>
    </w:p>
    <w:p w14:paraId="0DDD62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1%-2%（5分）</w:t>
      </w:r>
    </w:p>
    <w:p w14:paraId="65F9C3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1%以下（0分）</w:t>
      </w:r>
    </w:p>
    <w:p w14:paraId="6B8B63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（二）成长性指标（满分30分）</w:t>
      </w:r>
    </w:p>
    <w:p w14:paraId="23F9A9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上年度主营业务收入增长率（满分20分）</w:t>
      </w:r>
    </w:p>
    <w:p w14:paraId="085D2A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15%以上（20分）</w:t>
      </w:r>
    </w:p>
    <w:p w14:paraId="1DD360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10%-15%（15分）</w:t>
      </w:r>
    </w:p>
    <w:p w14:paraId="541B5D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5%-10%（10分）</w:t>
      </w:r>
    </w:p>
    <w:p w14:paraId="53AC908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0%-5%（5分）</w:t>
      </w:r>
    </w:p>
    <w:p w14:paraId="4AF8FA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0%以下（0分）</w:t>
      </w:r>
    </w:p>
    <w:p w14:paraId="49F451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上年度资产负债率（满分10分）</w:t>
      </w:r>
    </w:p>
    <w:p w14:paraId="3FCE96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55%以下（10分）</w:t>
      </w:r>
    </w:p>
    <w:p w14:paraId="4C64B5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55%-75%（5分）</w:t>
      </w:r>
    </w:p>
    <w:p w14:paraId="29BE30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75%以上（0分）</w:t>
      </w:r>
    </w:p>
    <w:p w14:paraId="18FFB8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（三）专业化指标（满分30分）</w:t>
      </w:r>
    </w:p>
    <w:p w14:paraId="582642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主导产品所属领域情况（满分10分）</w:t>
      </w:r>
    </w:p>
    <w:p w14:paraId="5D21B9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属于《战略性新兴产业分类》（10分）</w:t>
      </w:r>
    </w:p>
    <w:p w14:paraId="65A934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属于其他领域（5分）</w:t>
      </w:r>
    </w:p>
    <w:p w14:paraId="697AF2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上年度主营业务收入总额占营业收入总额比重（满分20分）</w:t>
      </w:r>
    </w:p>
    <w:p w14:paraId="4FF321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70%以上（20分）</w:t>
      </w:r>
    </w:p>
    <w:p w14:paraId="27105D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60%-70%（15分）</w:t>
      </w:r>
    </w:p>
    <w:p w14:paraId="63A340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55%-60%（10分）</w:t>
      </w:r>
    </w:p>
    <w:p w14:paraId="27A397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50%-55%（5分）</w:t>
      </w:r>
    </w:p>
    <w:p w14:paraId="3CAAA8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50%以下（0分）</w:t>
      </w:r>
    </w:p>
    <w:p w14:paraId="13AAE2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6BC3C5-A445-4399-9353-04C0541151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864053-D1DB-4A92-B099-765BFDBFFD4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  <w:embedRegular r:id="rId3" w:fontKey="{4EE3E4DD-E8C9-4298-B8C5-324140D30315}"/>
  </w:font>
  <w:font w:name="方正粗黑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4" w:fontKey="{6976A6D9-A72D-49AB-B4C0-2793C5891B5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E50750A-253A-49C5-8CF9-C39A52D2F2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657CE5B-8B9C-4863-A9D5-0496C617E1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1C62696-1CDE-4A8A-BB70-195B1390DA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AE5EF4BE-1DD7-4A92-91CB-2A816350AF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3A8B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34EB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34EB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3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6B1A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F230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230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- 1 -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jc5MWUyMjRlMjdjYTE2ODJlNTk2NGE3NzYxYTcifQ=="/>
  </w:docVars>
  <w:rsids>
    <w:rsidRoot w:val="06056729"/>
    <w:rsid w:val="060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2024-10-23T06:37:00Z</dcterms:created>
  <dc:creator>九天(旭)</dc:creator>
  <cp:lastModifiedBy>九天(旭)</cp:lastModifiedBy>
  <dcterms:modified xsi:type="dcterms:W3CDTF">2024-10-23T06:39:49Z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6F49F2FA8D054A8286E36E505C91EC15_11</vt:lpwstr>
  </property>
</Properties>
</file>